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2"/>
          <w:szCs w:val="32"/>
        </w:rPr>
      </w:pPr>
      <w:r w:rsidDel="00000000" w:rsidR="00000000" w:rsidRPr="00000000">
        <w:rPr>
          <w:rFonts w:ascii="Google Sans" w:cs="Google Sans" w:eastAsia="Google Sans" w:hAnsi="Google Sans"/>
          <w:b w:val="1"/>
          <w:i w:val="0"/>
          <w:color w:val="1b1c1d"/>
          <w:sz w:val="32"/>
          <w:szCs w:val="32"/>
          <w:rtl w:val="0"/>
        </w:rPr>
        <w:t xml:space="preserve">An Academic Critical Review of Chromatinopathies: From Molecular Mechanisms to Therapeutic Frontiers</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2"/>
          <w:szCs w:val="32"/>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2"/>
          <w:szCs w:val="32"/>
        </w:rPr>
      </w:pPr>
      <w:r w:rsidDel="00000000" w:rsidR="00000000" w:rsidRPr="00000000">
        <w:rPr>
          <w:rtl w:val="0"/>
        </w:rPr>
      </w:r>
    </w:p>
    <w:p w:rsidR="00000000" w:rsidDel="00000000" w:rsidP="00000000" w:rsidRDefault="00000000" w:rsidRPr="00000000" w14:paraId="0000000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 Introduction: Defining the Chromatinopathy Landscape</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precise orchestration of gene expression in a temporal and cell-type-specific manner is the cornerstone of embryonic development. This regulation is largely governed by the dynamic architecture of chromatin, the complex of DNA and proteins within the eukaryotic nucleus. In recent years, a growing class of human congenital disorders, collectively termed chromatinopathies, has been recognized as arising from pathogenic variants in the genes that encode the protein machinery responsible for establishing, maintaining, and interpreting this chromatin landscape. These disorders, while individually rare, represent a significant and expanding group of neurodevelopmental syndromes, unified by a common etiological foundation: the disruption of epigenetic regulation. This review provides a comprehensive and critical analysis of the field of chromatinopathies, tracing its conceptual evolution, dissecting the underlying molecular mechanisms, exploring the spectrum of clinical manifestations, and evaluating the revolutionary diagnostic and emergent therapeutic technologies that are shaping its future.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0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1.1. The Evolving Concept of Chromatinopathies</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term "chromatinopathy" has undergone a significant conceptual evolution, reflecting the maturation of the field from phenotype-based description to mechanism-based classification. It was initially coined to describe a collection of syndromes that phenotypically resembled Cornelia de Lange Syndrome (CdLS)—a well-characterized disorder caused by mutations in the cohesin complex—but were found to be caused by mutations in genes with related, yet distinct, functions in chromatin biology.</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early definition was rooted in clinical pattern recognition, where a recognizable constellation of features, such as intellectual disability, growth retardation, and facial dysmorphism, served as the entry point for investigation.</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However, the advent of next-generation sequencing (NGS) technologies, particularly whole exome and whole genome sequencing (WES/WGS), has fundamentally transformed this paradigm. The ability to perform hypothesis-free genetic interrogation has severed the reliance on pre-existing clinical suspicion and has led to a rapid expansion of the genetic and phenotypic landscape. Consequently, the definition of a chromatinopathy has broadened considerably. It now encompasses a wide array of genetic diseases with diverse clinical presentations, including but not limited to neurodevelopmental abnormalities, cardiac defects, immunodeficiency, and cancer predisposition.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 modern, more inclusive definition refers to any human developmental disorder resulting from a germline pathogenic variant in an "epigene"—a gene that encodes a protein involved in regulating the epigenome.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mechanistic redefinition has unified these conditions under the umbrella of Mendelian Disorders of the Epigenetic Machinery (MDEMs) or, more broadly, chromatinopathies, which are fundamentally characterized by an imbalance in the chromatin state.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expanded view has revealed a vast class of disorders. As of recent analyses, the field now recognizes over 100 to 179 distinct syndromes caused by pathogenic variants in at least 148 to 154 different epigenes.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transition from a phenotype-first to a mechanism-first framework is not merely semantic; it allows for the inclusion of disorders with less "classic" features, thereby expanding our understanding of the full phenotypic spectrum that can result from epigenetic dysregulation and forcing the field to grapple with the fundamental molecular principles that unify these disparate conditions.</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0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1.2. The Central Role of Chromatin in Development</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To comprehend chromatinopathies, one must first appreciate the central role of chromatin in orchestrating normal development. Within the nucleus, approximately two meters of DNA are compacted into a structure that can fit within a micron-scale space. This remarkable feat of packaging is achieved by wrapping DNA around octamers of histone proteins (two each of H2A, H2B, H3, and H4), forming the fundamental repeating unit of chromatin known as the nucleosome.</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This structure is not static; it is highly dynamic and serves as the primary substrate for gene regulation.</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state of chromatin can be broadly categorized as either "open" and transcriptionally permissive (euchromatin) or "condensed" and transcriptionally repressive (heterochromatin).</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The transition between these states is controlled by a sophisticated enzymatic network—the epigenetic machinery. This machinery actively modifies the chromatin landscape through several key mechanisms: the addition and removal of covalent post-translational modifications (PTMs) on histone tails (e.g., acetylation, methylation, phosphorylation), the chemical modification of DNA itself (e.g., cytosine methylation), and the ATP-dependent physical repositioning, eviction, or compositional alteration of nucleosomes.</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Normal embryonic development, from gastrulation to organogenesis, is critically dependent on the precise, spatiotemporal execution of complex gene expression programs. The epigenetic machinery is the conductor of this symphony, interpreting developmental cues and translating them into stable patterns of gene activity that define cellular identity and function. When a component of this machinery is compromised by a pathogenic mutation, this precise regulation is lost. The resulting global dysregulation of gene expression disrupts the intricate choreography of development, leading to the pleiotropic, multisystemic anomalies characteristic of chromatinopathies.</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1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1.3. An Emerging Public Health Concern</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While each individual chromatinopathy is classified as a rare disease, their collective prevalence makes them a significant and growing category of neurodevelopmental disorders (NDDs).</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The increasing diagnostic yield from clinical NGS has brought this group of disorders to the forefront of pediatric genetics. A striking and defining characteristic of the chromatinopathy landscape is the profound degree of clinical overlap, or pleiotropy, among distinct syndromes. The most common shared feature is intellectual disability (ID) or developmental delay, which is present in over 90% of all diagnosed chromatinopathies.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This is frequently accompanied by a constellation of other abnormalities, including prenatal and postnatal growth disturbances, characteristic facial dysmorphisms, skeletal anomalies, and immune system dysfunction.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This remarkable convergence of phenotypes, stemming from mutations in a wide variety of functionally distinct epigenes, suggests a fundamental vulnerability of certain developmental systems—particularly the central nervous system, the skeletal system, and the immune system—to epigenetic dysregulation. The shared clinical features are the macroscopic manifestation of perturbations in common, underlying molecular pathways that are exquisitely sensitive to the dosage and function of chromatin regulators. The increasing recognition of chromatinopathies as a major cause of congenital disease underscores the urgent need for unified diagnostic frameworks, a deeper understanding of their convergent pathogenesis, and the development of novel therapeutic strategies that target the root epigenetic cause.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1A">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II. The Molecular Architecture of Chromatinopathies</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molecular basis of chromatinopathies lies in the disruption of the intricate machinery that governs chromatin structure and function. The proteins encoded by the implicated epigenes are part of a complex, interconnected network that writes, erases, reads, and remodels the epigenetic landscape. Understanding the functional roles of these proteins and the complexes they form is essential for deciphering the pathogenic mechanisms that drive these developmental disorders.</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1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2.1. The Epigenetic Machinery: A Functional Classification</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proteins of the epigenetic machinery can be categorized into several major functional classes, providing a useful framework for understanding their roles.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While early classifications focused on four main groups, more comprehensive analyses now recognize up to 17 distinct functional categories, including essential protein cofactors that are required for the activity of the core enzymatic complexes.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 primary classes are as follows:</w:t>
      </w:r>
    </w:p>
    <w:p w:rsidR="00000000" w:rsidDel="00000000" w:rsidP="00000000" w:rsidRDefault="00000000" w:rsidRPr="00000000" w14:paraId="00000021">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Writers</w:t>
      </w:r>
      <w:r w:rsidDel="00000000" w:rsidR="00000000" w:rsidRPr="00000000">
        <w:rPr>
          <w:rFonts w:ascii="Google Sans Text" w:cs="Google Sans Text" w:eastAsia="Google Sans Text" w:hAnsi="Google Sans Text"/>
          <w:i w:val="0"/>
          <w:color w:val="1b1c1d"/>
          <w:sz w:val="24"/>
          <w:szCs w:val="24"/>
          <w:rtl w:val="0"/>
        </w:rPr>
        <w:t xml:space="preserve">: These are enzymes that covalently add chemical modifications to histones or DNA, thereby creating specific epigenetic marks.</w:t>
      </w:r>
    </w:p>
    <w:p w:rsidR="00000000" w:rsidDel="00000000" w:rsidP="00000000" w:rsidRDefault="00000000" w:rsidRPr="00000000" w14:paraId="00000022">
      <w:pPr>
        <w:numPr>
          <w:ilvl w:val="1"/>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1"/>
          <w:color w:val="1b1c1d"/>
          <w:sz w:val="24"/>
          <w:szCs w:val="24"/>
          <w:rtl w:val="0"/>
        </w:rPr>
        <w:t xml:space="preserve">Histone Acetyltransferases (HATs)</w:t>
      </w:r>
      <w:r w:rsidDel="00000000" w:rsidR="00000000" w:rsidRPr="00000000">
        <w:rPr>
          <w:rFonts w:ascii="Google Sans Text" w:cs="Google Sans Text" w:eastAsia="Google Sans Text" w:hAnsi="Google Sans Text"/>
          <w:i w:val="0"/>
          <w:color w:val="1b1c1d"/>
          <w:sz w:val="24"/>
          <w:szCs w:val="24"/>
          <w:rtl w:val="0"/>
        </w:rPr>
        <w:t xml:space="preserve">: These enzymes, such as CREBBP and EP300 (mutated in Rubinstein-Taybi syndrome), add acetyl groups to lysine residues on histone tails. Histone acetylation typically neutralizes the positive charge of lysine, weakening the interaction between histones and DNA and creating a more "open" chromatin state associated with active gene transcription.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023">
      <w:pPr>
        <w:numPr>
          <w:ilvl w:val="1"/>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1"/>
          <w:color w:val="1b1c1d"/>
          <w:sz w:val="24"/>
          <w:szCs w:val="24"/>
          <w:rtl w:val="0"/>
        </w:rPr>
        <w:t xml:space="preserve">Histone Methyltransferases (HMTs)</w:t>
      </w:r>
      <w:r w:rsidDel="00000000" w:rsidR="00000000" w:rsidRPr="00000000">
        <w:rPr>
          <w:rFonts w:ascii="Google Sans Text" w:cs="Google Sans Text" w:eastAsia="Google Sans Text" w:hAnsi="Google Sans Text"/>
          <w:i w:val="0"/>
          <w:color w:val="1b1c1d"/>
          <w:sz w:val="24"/>
          <w:szCs w:val="24"/>
          <w:rtl w:val="0"/>
        </w:rPr>
        <w:t xml:space="preserve">: This diverse family of enzymes adds methyl groups to lysine and arginine residues on histones. The functional consequence is highly context-dependent. For example, methylation of histone H3 at lysine 4 (H3K4me), catalyzed by enzymes like KMT2D (mutated in Kabuki syndrome) and KMT2A (mutated in Wiedemann-Steiner syndrome), is a hallmark of active promoters.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In contrast, methylation of H3 at lysine 27 (H3K27me), catalyzed by the PRC2 complex component EZH2 (mutated in Weaver syndrome), is a repressive mark associated with gene silencing.</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024">
      <w:pPr>
        <w:numPr>
          <w:ilvl w:val="1"/>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1"/>
          <w:color w:val="1b1c1d"/>
          <w:sz w:val="24"/>
          <w:szCs w:val="24"/>
          <w:rtl w:val="0"/>
        </w:rPr>
        <w:t xml:space="preserve">DNA Methyltransferases (DNMTs)</w:t>
      </w:r>
      <w:r w:rsidDel="00000000" w:rsidR="00000000" w:rsidRPr="00000000">
        <w:rPr>
          <w:rFonts w:ascii="Google Sans Text" w:cs="Google Sans Text" w:eastAsia="Google Sans Text" w:hAnsi="Google Sans Text"/>
          <w:i w:val="0"/>
          <w:color w:val="1b1c1d"/>
          <w:sz w:val="24"/>
          <w:szCs w:val="24"/>
          <w:rtl w:val="0"/>
        </w:rPr>
        <w:t xml:space="preserve">: Enzymes such as DNMT1, DNMT3A, and DNMT3B catalyze the addition of a methyl group to the 5' position of cytosine bases, primarily within CpG dinucleotides. DNA methylation is a stable epigenetic mark generally associated with long-term gene silencing.</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25">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Erasers</w:t>
      </w:r>
      <w:r w:rsidDel="00000000" w:rsidR="00000000" w:rsidRPr="00000000">
        <w:rPr>
          <w:rFonts w:ascii="Google Sans Text" w:cs="Google Sans Text" w:eastAsia="Google Sans Text" w:hAnsi="Google Sans Text"/>
          <w:i w:val="0"/>
          <w:color w:val="1b1c1d"/>
          <w:sz w:val="24"/>
          <w:szCs w:val="24"/>
          <w:rtl w:val="0"/>
        </w:rPr>
        <w:t xml:space="preserve">: These enzymes remove the covalent modifications deposited by the writers, providing a dynamic counterbalance that allows for the reversibility of epigenetic states.</w:t>
      </w:r>
    </w:p>
    <w:p w:rsidR="00000000" w:rsidDel="00000000" w:rsidP="00000000" w:rsidRDefault="00000000" w:rsidRPr="00000000" w14:paraId="00000026">
      <w:pPr>
        <w:numPr>
          <w:ilvl w:val="1"/>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1"/>
          <w:color w:val="1b1c1d"/>
          <w:sz w:val="24"/>
          <w:szCs w:val="24"/>
          <w:rtl w:val="0"/>
        </w:rPr>
        <w:t xml:space="preserve">Histone Deacetylases (HDACs)</w:t>
      </w:r>
      <w:r w:rsidDel="00000000" w:rsidR="00000000" w:rsidRPr="00000000">
        <w:rPr>
          <w:rFonts w:ascii="Google Sans Text" w:cs="Google Sans Text" w:eastAsia="Google Sans Text" w:hAnsi="Google Sans Text"/>
          <w:i w:val="0"/>
          <w:color w:val="1b1c1d"/>
          <w:sz w:val="24"/>
          <w:szCs w:val="24"/>
          <w:rtl w:val="0"/>
        </w:rPr>
        <w:t xml:space="preserve">: HDACs, such as HDAC8 (mutated in a form of Cornelia de Lange syndrome), remove acetyl groups from histones, leading to a more compact chromatin structure and transcriptional repression.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027">
      <w:pPr>
        <w:numPr>
          <w:ilvl w:val="1"/>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1"/>
          <w:color w:val="1b1c1d"/>
          <w:sz w:val="24"/>
          <w:szCs w:val="24"/>
          <w:rtl w:val="0"/>
        </w:rPr>
        <w:t xml:space="preserve">Histone Demethylases (HDMs)</w:t>
      </w:r>
      <w:r w:rsidDel="00000000" w:rsidR="00000000" w:rsidRPr="00000000">
        <w:rPr>
          <w:rFonts w:ascii="Google Sans Text" w:cs="Google Sans Text" w:eastAsia="Google Sans Text" w:hAnsi="Google Sans Text"/>
          <w:i w:val="0"/>
          <w:color w:val="1b1c1d"/>
          <w:sz w:val="24"/>
          <w:szCs w:val="24"/>
          <w:rtl w:val="0"/>
        </w:rPr>
        <w:t xml:space="preserve">: These enzymes, including KDM6A (mutated in Kabuki syndrome type 2), remove methyl groups from histones, reversing the action of HMTs and contributing to the dynamic regulation of gene expression.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028">
      <w:pPr>
        <w:numPr>
          <w:ilvl w:val="1"/>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1"/>
          <w:color w:val="1b1c1d"/>
          <w:sz w:val="24"/>
          <w:szCs w:val="24"/>
          <w:rtl w:val="0"/>
        </w:rPr>
        <w:t xml:space="preserve">Ten-eleven translocation (TET) enzymes</w:t>
      </w:r>
      <w:r w:rsidDel="00000000" w:rsidR="00000000" w:rsidRPr="00000000">
        <w:rPr>
          <w:rFonts w:ascii="Google Sans Text" w:cs="Google Sans Text" w:eastAsia="Google Sans Text" w:hAnsi="Google Sans Text"/>
          <w:i w:val="0"/>
          <w:color w:val="1b1c1d"/>
          <w:sz w:val="24"/>
          <w:szCs w:val="24"/>
          <w:rtl w:val="0"/>
        </w:rPr>
        <w:t xml:space="preserve">: These enzymes initiate the process of DNA demethylation by oxidizing 5-methylcytosine, playing a key role in epigenetic reprogramming.</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29">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Readers</w:t>
      </w:r>
      <w:r w:rsidDel="00000000" w:rsidR="00000000" w:rsidRPr="00000000">
        <w:rPr>
          <w:rFonts w:ascii="Google Sans Text" w:cs="Google Sans Text" w:eastAsia="Google Sans Text" w:hAnsi="Google Sans Text"/>
          <w:i w:val="0"/>
          <w:color w:val="1b1c1d"/>
          <w:sz w:val="24"/>
          <w:szCs w:val="24"/>
          <w:rtl w:val="0"/>
        </w:rPr>
        <w:t xml:space="preserve">: These are proteins that contain specialized domains capable of recognizing and binding to specific epigenetic marks. They act as effectors, translating the "histone code" into downstream biological outcomes by recruiting other protein complexes to modify chromatin or regulate transcription.</w:t>
      </w:r>
    </w:p>
    <w:p w:rsidR="00000000" w:rsidDel="00000000" w:rsidP="00000000" w:rsidRDefault="00000000" w:rsidRPr="00000000" w14:paraId="0000002A">
      <w:pPr>
        <w:numPr>
          <w:ilvl w:val="1"/>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Key reader domains include Bromodomains, which recognize acetylated lysines, and Chromodomains, which recognize methylated lysines.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 protein BRD4, which contains bromodomains and is implicated in a CdLS-like phenotype, is a critical reader that binds to acetylated histones at super-enhancers to promote transcription.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p>
    <w:p w:rsidR="00000000" w:rsidDel="00000000" w:rsidP="00000000" w:rsidRDefault="00000000" w:rsidRPr="00000000" w14:paraId="0000002B">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Remodelers</w:t>
      </w:r>
      <w:r w:rsidDel="00000000" w:rsidR="00000000" w:rsidRPr="00000000">
        <w:rPr>
          <w:rFonts w:ascii="Google Sans Text" w:cs="Google Sans Text" w:eastAsia="Google Sans Text" w:hAnsi="Google Sans Text"/>
          <w:i w:val="0"/>
          <w:color w:val="1b1c1d"/>
          <w:sz w:val="24"/>
          <w:szCs w:val="24"/>
          <w:rtl w:val="0"/>
        </w:rPr>
        <w:t xml:space="preserve">: These are large, multi-subunit protein complexes that use the energy derived from ATP hydrolysis to alter the architecture of chromatin directly. They can slide nucleosomes along the DNA, evict them entirely, or exchange canonical histones for histone variants. By doing so, they directly control the accessibility of DNA to the transcriptional machinery.</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2C">
      <w:pPr>
        <w:numPr>
          <w:ilvl w:val="1"/>
          <w:numId w:val="8"/>
        </w:numPr>
        <w:pBdr>
          <w:top w:space="0" w:sz="0" w:val="nil"/>
          <w:left w:space="0" w:sz="0" w:val="nil"/>
          <w:bottom w:space="0" w:sz="0" w:val="nil"/>
          <w:right w:space="0" w:sz="0" w:val="nil"/>
          <w:between w:space="0" w:sz="0" w:val="nil"/>
        </w:pBdr>
        <w:shd w:fill="auto" w:val="clear"/>
        <w:spacing w:after="12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Major remodeler families include SWI/SNF (e.g., the BAF complex, whose subunits like </w:t>
      </w:r>
      <w:r w:rsidDel="00000000" w:rsidR="00000000" w:rsidRPr="00000000">
        <w:rPr>
          <w:rFonts w:ascii="Google Sans Text" w:cs="Google Sans Text" w:eastAsia="Google Sans Text" w:hAnsi="Google Sans Text"/>
          <w:i w:val="1"/>
          <w:color w:val="1b1c1d"/>
          <w:sz w:val="24"/>
          <w:szCs w:val="24"/>
          <w:rtl w:val="0"/>
        </w:rPr>
        <w:t xml:space="preserve">ARID1B</w:t>
      </w:r>
      <w:r w:rsidDel="00000000" w:rsidR="00000000" w:rsidRPr="00000000">
        <w:rPr>
          <w:rFonts w:ascii="Google Sans Text" w:cs="Google Sans Text" w:eastAsia="Google Sans Text" w:hAnsi="Google Sans Text"/>
          <w:i w:val="0"/>
          <w:color w:val="1b1c1d"/>
          <w:sz w:val="24"/>
          <w:szCs w:val="24"/>
          <w:rtl w:val="0"/>
        </w:rPr>
        <w:t xml:space="preserve"> are mutated in Coffin-Siris syndrome), ISWI, CHD, and INO80.</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classification system, while useful, must be viewed as a heuristic. The reality of epigenetic regulation is one of profound interconnectivity. Many proteins exhibit dual functions, containing both a reader and a writer domain, for instance.</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 Furthermore, these proteins rarely act in isolation but function as components of large, stable multi-protein complexes. This modular organization means that the critical pathogenic unit is often the entire complex or pathway, not just the individual protein. This realization has significant implications, suggesting that therapeutic strategies targeting a central node within a pathway might be effective regardless of which specific component is mutated.</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Table 1: Functional Classification of the Epigenetic Machinery and Key Chromatinopathy Genes</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4"/>
          <w:szCs w:val="24"/>
        </w:rPr>
      </w:pPr>
      <w:r w:rsidDel="00000000" w:rsidR="00000000" w:rsidRPr="00000000">
        <w:rPr>
          <w:rtl w:val="0"/>
        </w:rPr>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Functional Class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Sub-class / Complex</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Gene Example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Associated Syndrome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Core Molecular Mechanism</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Writers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Histone Acetyltransferase (HAT)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CREBBP</w:t>
            </w:r>
            <w:r w:rsidDel="00000000" w:rsidR="00000000" w:rsidRPr="00000000">
              <w:rPr>
                <w:rFonts w:ascii="Google Sans Text" w:cs="Google Sans Text" w:eastAsia="Google Sans Text" w:hAnsi="Google Sans Text"/>
                <w:i w:val="0"/>
                <w:color w:val="1b1c1d"/>
                <w:sz w:val="20"/>
                <w:szCs w:val="20"/>
                <w:shd w:fill="auto" w:val="clear"/>
                <w:rtl w:val="0"/>
              </w:rPr>
              <w:t xml:space="preserve">, </w:t>
            </w:r>
            <w:r w:rsidDel="00000000" w:rsidR="00000000" w:rsidRPr="00000000">
              <w:rPr>
                <w:rFonts w:ascii="Google Sans Text" w:cs="Google Sans Text" w:eastAsia="Google Sans Text" w:hAnsi="Google Sans Text"/>
                <w:i w:val="1"/>
                <w:color w:val="1b1c1d"/>
                <w:sz w:val="20"/>
                <w:szCs w:val="20"/>
                <w:shd w:fill="auto" w:val="clear"/>
                <w:rtl w:val="0"/>
              </w:rPr>
              <w:t xml:space="preserve">EP300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Rubinstein-Taybi Syndrome (RSTS)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Haploinsufficiency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Histone Methyltransferase (HMT)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KMT2D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Kabuki Syndrome 1 (KS1)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Haploinsufficiency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KMT2A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Wiedemann-Steiner Syndrome (WDSTS)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Haploinsufficiency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EZH2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Weaver Syndrome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Gain-of-function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DNA Methyltransferase (DNMT)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DNMT3A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Tatton-Brown-Rahman Syndrome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Haploinsufficiency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Erasers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Histone Deacetylase (HDAC)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HDAC8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Cornelia de Lange Syndrome 5 (CdLS5)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Loss-of-function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Histone Demethylase (HDM)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KDM6A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Kabuki Syndrome 2 (KS2)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Haploinsufficiency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KDM5C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Claes-Jensen Syndrome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Loss-of-function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Readers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Bromodomain-containing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BRD4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CdLS-like phenotype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Haploinsufficiency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Methyl-CpG Binding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MECP2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Rett Syndrome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Loss-of-function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Remodelers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BAF (SWI/SNF) Complex</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ARID1B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Coffin-Siris Syndrome 1 (CSS1)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Haploinsufficiency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SMARCA4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Coffin-Siris Syndrome 4 (CSS4)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Haploinsufficiency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Cohesin Complex (Regulator)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NIPBL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Cornelia de Lange Syndrome 1 (CdLS1)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Haploinsufficiency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SMC1A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Cornelia de Lange Syndrome 2 (CdLS2)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Dominant-negative / Gain-of-function</w:t>
            </w:r>
          </w:p>
        </w:tc>
      </w:tr>
    </w:tbl>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p w:rsidR="00000000" w:rsidDel="00000000" w:rsidP="00000000" w:rsidRDefault="00000000" w:rsidRPr="00000000" w14:paraId="0000007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2.2. Core Pathogenic Mechanisms</w:t>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Despite the diversity of genes and functions involved, a few core molecular mechanisms underlie the majority of chromatinopathies.</w:t>
      </w:r>
    </w:p>
    <w:p w:rsidR="00000000" w:rsidDel="00000000" w:rsidP="00000000" w:rsidRDefault="00000000" w:rsidRPr="00000000" w14:paraId="0000007F">
      <w:pPr>
        <w:numPr>
          <w:ilvl w:val="0"/>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Haploinsufficiency</w:t>
      </w:r>
      <w:r w:rsidDel="00000000" w:rsidR="00000000" w:rsidRPr="00000000">
        <w:rPr>
          <w:rFonts w:ascii="Google Sans Text" w:cs="Google Sans Text" w:eastAsia="Google Sans Text" w:hAnsi="Google Sans Text"/>
          <w:i w:val="0"/>
          <w:color w:val="1b1c1d"/>
          <w:sz w:val="24"/>
          <w:szCs w:val="24"/>
          <w:rtl w:val="0"/>
        </w:rPr>
        <w:t xml:space="preserve">: This is the most prevalent pathogenic mechanism across the chromatinopathy spectrum.</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In this scenario, a loss-of-function mutation in one of the two alleles of a gene results in the production of only half the normal amount of the corresponding protein. For many components of the epigenetic machinery, this 50% reduction is insufficient to maintain normal cellular function, particularly during critical developmental periods. This phenomenon underscores the exquisite dosage sensitivity of these regulatory pathways; the precise stoichiometry of protein complexes and the overall level of enzymatic activity are critical for developmental fidelity.</w:t>
      </w:r>
    </w:p>
    <w:p w:rsidR="00000000" w:rsidDel="00000000" w:rsidP="00000000" w:rsidRDefault="00000000" w:rsidRPr="00000000" w14:paraId="00000080">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Dominant-Negative Effects</w:t>
      </w:r>
      <w:r w:rsidDel="00000000" w:rsidR="00000000" w:rsidRPr="00000000">
        <w:rPr>
          <w:rFonts w:ascii="Google Sans Text" w:cs="Google Sans Text" w:eastAsia="Google Sans Text" w:hAnsi="Google Sans Text"/>
          <w:i w:val="0"/>
          <w:color w:val="1b1c1d"/>
          <w:sz w:val="24"/>
          <w:szCs w:val="24"/>
          <w:rtl w:val="0"/>
        </w:rPr>
        <w:t xml:space="preserve">: In some cases, the mutant protein produced from the affected allele is not simply non-functional but actively interferes with the function of the protein produced from the remaining wild-type allele. This can occur when the mutant protein is incorporated into a multi-protein complex, poisoning the entire complex and rendering it inactive. This mechanism is thought to be at play for certain pathogenic variants in the cohesin complex genes </w:t>
      </w:r>
      <w:r w:rsidDel="00000000" w:rsidR="00000000" w:rsidRPr="00000000">
        <w:rPr>
          <w:rFonts w:ascii="Google Sans Text" w:cs="Google Sans Text" w:eastAsia="Google Sans Text" w:hAnsi="Google Sans Text"/>
          <w:i w:val="1"/>
          <w:color w:val="1b1c1d"/>
          <w:sz w:val="24"/>
          <w:szCs w:val="24"/>
          <w:rtl w:val="0"/>
        </w:rPr>
        <w:t xml:space="preserve">SMC1A</w:t>
      </w:r>
      <w:r w:rsidDel="00000000" w:rsidR="00000000" w:rsidRPr="00000000">
        <w:rPr>
          <w:rFonts w:ascii="Google Sans Text" w:cs="Google Sans Text" w:eastAsia="Google Sans Text" w:hAnsi="Google Sans Text"/>
          <w:i w:val="0"/>
          <w:color w:val="1b1c1d"/>
          <w:sz w:val="24"/>
          <w:szCs w:val="24"/>
          <w:rtl w:val="0"/>
        </w:rPr>
        <w:t xml:space="preserve"> and </w:t>
      </w:r>
      <w:r w:rsidDel="00000000" w:rsidR="00000000" w:rsidRPr="00000000">
        <w:rPr>
          <w:rFonts w:ascii="Google Sans Text" w:cs="Google Sans Text" w:eastAsia="Google Sans Text" w:hAnsi="Google Sans Text"/>
          <w:i w:val="1"/>
          <w:color w:val="1b1c1d"/>
          <w:sz w:val="24"/>
          <w:szCs w:val="24"/>
          <w:rtl w:val="0"/>
        </w:rPr>
        <w:t xml:space="preserve">SMC3</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p>
    <w:p w:rsidR="00000000" w:rsidDel="00000000" w:rsidP="00000000" w:rsidRDefault="00000000" w:rsidRPr="00000000" w14:paraId="00000081">
      <w:pPr>
        <w:numPr>
          <w:ilvl w:val="0"/>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Global Transcriptional Dysregulation</w:t>
      </w:r>
      <w:r w:rsidDel="00000000" w:rsidR="00000000" w:rsidRPr="00000000">
        <w:rPr>
          <w:rFonts w:ascii="Google Sans Text" w:cs="Google Sans Text" w:eastAsia="Google Sans Text" w:hAnsi="Google Sans Text"/>
          <w:i w:val="0"/>
          <w:color w:val="1b1c1d"/>
          <w:sz w:val="24"/>
          <w:szCs w:val="24"/>
          <w:rtl w:val="0"/>
        </w:rPr>
        <w:t xml:space="preserve">: Regardless of the primary genetic defect or the specific mechanism (haploinsufficiency, dominant-negative), the ultimate downstream consequence that drives the disease phenotype is a global dysregulation of transcription.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Unlike classical Mendelian disorders where a single gene's product is absent or dysfunctional, mutations in chromatin regulators do not typically cause a complete on/off switch for a single downstream gene. Instead, they lead to subtle, yet widespread and cumulative, changes in the expression levels of hundreds or even thousands of target genes. This broad disruption of entire gene networks and developmental programs explains the complex, multisystemic nature of chromatinopathy phenotypes.</w:t>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8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2.3. Key Regulatory Complexes as Pathogenic Hubs</w:t>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central theme that has emerged in the study of chromatinopathies is the principle of "convergent pathogenesis".</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This principle posits that mutations in different genes that encode components of the same functional protein complex or pathway will often result in highly similar or overlapping clinical syndromes. This is because the disruption of any part of the modular unit can cripple the function of the entire module, leading to the same downstream consequences. Several key regulatory complexes have emerged as major pathogenic hubs.</w:t>
      </w:r>
    </w:p>
    <w:p w:rsidR="00000000" w:rsidDel="00000000" w:rsidP="00000000" w:rsidRDefault="00000000" w:rsidRPr="00000000" w14:paraId="00000086">
      <w:pPr>
        <w:numPr>
          <w:ilvl w:val="0"/>
          <w:numId w:val="10"/>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The Cohesin Complex (Cohesinopathies)</w:t>
      </w:r>
      <w:r w:rsidDel="00000000" w:rsidR="00000000" w:rsidRPr="00000000">
        <w:rPr>
          <w:rFonts w:ascii="Google Sans Text" w:cs="Google Sans Text" w:eastAsia="Google Sans Text" w:hAnsi="Google Sans Text"/>
          <w:i w:val="0"/>
          <w:color w:val="1b1c1d"/>
          <w:sz w:val="24"/>
          <w:szCs w:val="24"/>
          <w:rtl w:val="0"/>
        </w:rPr>
        <w:t xml:space="preserve">: The cohesin complex, composed of the core subunits SMC1A, SMC3, RAD21, and STAG1/2, along with its regulators like NIPBL and HDAC8, is the archetypal example. Mutations in these genes cause CdLS and related disorders, collectively known as cohesinopathies.</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r w:rsidDel="00000000" w:rsidR="00000000" w:rsidRPr="00000000">
        <w:rPr>
          <w:rFonts w:ascii="Google Sans Text" w:cs="Google Sans Text" w:eastAsia="Google Sans Text" w:hAnsi="Google Sans Text"/>
          <w:i w:val="0"/>
          <w:color w:val="1b1c1d"/>
          <w:sz w:val="24"/>
          <w:szCs w:val="24"/>
          <w:rtl w:val="0"/>
        </w:rPr>
        <w:t xml:space="preserve"> A pivotal finding in the field was the realization that the CdLS phenotype is not primarily caused by defects in sister chromatid cohesion—the canonical role of the complex—but rather by the disruption of cohesin's crucial functions in regulating gene expression and organizing the 3D architecture of the genome, including the formation of topologically associated domains (TADs).</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p>
    <w:p w:rsidR="00000000" w:rsidDel="00000000" w:rsidP="00000000" w:rsidRDefault="00000000" w:rsidRPr="00000000" w14:paraId="00000087">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The BAF (SWI/SNF) Complex (BAFopathies)</w:t>
      </w:r>
      <w:r w:rsidDel="00000000" w:rsidR="00000000" w:rsidRPr="00000000">
        <w:rPr>
          <w:rFonts w:ascii="Google Sans Text" w:cs="Google Sans Text" w:eastAsia="Google Sans Text" w:hAnsi="Google Sans Text"/>
          <w:i w:val="0"/>
          <w:color w:val="1b1c1d"/>
          <w:sz w:val="24"/>
          <w:szCs w:val="24"/>
          <w:rtl w:val="0"/>
        </w:rPr>
        <w:t xml:space="preserve">: The mammalian SWI/SNF complex, known as the BAF complex, is a major ATP-dependent chromatin remodeler. It exists in multiple forms with varying subunit compositions. Pathogenic variants in a large number of its subunits, including </w:t>
      </w:r>
      <w:r w:rsidDel="00000000" w:rsidR="00000000" w:rsidRPr="00000000">
        <w:rPr>
          <w:rFonts w:ascii="Google Sans Text" w:cs="Google Sans Text" w:eastAsia="Google Sans Text" w:hAnsi="Google Sans Text"/>
          <w:i w:val="1"/>
          <w:color w:val="1b1c1d"/>
          <w:sz w:val="24"/>
          <w:szCs w:val="24"/>
          <w:rtl w:val="0"/>
        </w:rPr>
        <w:t xml:space="preserve">ARID1B</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ARID1A</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SMARCA4</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SMARCB1</w:t>
      </w:r>
      <w:r w:rsidDel="00000000" w:rsidR="00000000" w:rsidRPr="00000000">
        <w:rPr>
          <w:rFonts w:ascii="Google Sans Text" w:cs="Google Sans Text" w:eastAsia="Google Sans Text" w:hAnsi="Google Sans Text"/>
          <w:i w:val="0"/>
          <w:color w:val="1b1c1d"/>
          <w:sz w:val="24"/>
          <w:szCs w:val="24"/>
          <w:rtl w:val="0"/>
        </w:rPr>
        <w:t xml:space="preserve">, and </w:t>
      </w:r>
      <w:r w:rsidDel="00000000" w:rsidR="00000000" w:rsidRPr="00000000">
        <w:rPr>
          <w:rFonts w:ascii="Google Sans Text" w:cs="Google Sans Text" w:eastAsia="Google Sans Text" w:hAnsi="Google Sans Text"/>
          <w:i w:val="1"/>
          <w:color w:val="1b1c1d"/>
          <w:sz w:val="24"/>
          <w:szCs w:val="24"/>
          <w:rtl w:val="0"/>
        </w:rPr>
        <w:t xml:space="preserve">SMARCE1</w:t>
      </w:r>
      <w:r w:rsidDel="00000000" w:rsidR="00000000" w:rsidRPr="00000000">
        <w:rPr>
          <w:rFonts w:ascii="Google Sans Text" w:cs="Google Sans Text" w:eastAsia="Google Sans Text" w:hAnsi="Google Sans Text"/>
          <w:i w:val="0"/>
          <w:color w:val="1b1c1d"/>
          <w:sz w:val="24"/>
          <w:szCs w:val="24"/>
          <w:rtl w:val="0"/>
        </w:rPr>
        <w:t xml:space="preserve">, cause a spectrum of neurodevelopmental disorders that includes Coffin-Siris syndrome, Nicolaides-Baraitser syndrome, and other non-specific intellectual disability syndromes.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These "BAFopathies" share a core phenotype of developmental delay, intellectual disability, and coarse facial features, highlighting the BAF complex as a major converging hub for chromatinopathy proteins.</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p>
    <w:p w:rsidR="00000000" w:rsidDel="00000000" w:rsidP="00000000" w:rsidRDefault="00000000" w:rsidRPr="00000000" w14:paraId="00000088">
      <w:pPr>
        <w:numPr>
          <w:ilvl w:val="0"/>
          <w:numId w:val="1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The Polycomb Repressive Complex 2 (PRC2)</w:t>
      </w:r>
      <w:r w:rsidDel="00000000" w:rsidR="00000000" w:rsidRPr="00000000">
        <w:rPr>
          <w:rFonts w:ascii="Google Sans Text" w:cs="Google Sans Text" w:eastAsia="Google Sans Text" w:hAnsi="Google Sans Text"/>
          <w:i w:val="0"/>
          <w:color w:val="1b1c1d"/>
          <w:sz w:val="24"/>
          <w:szCs w:val="24"/>
          <w:rtl w:val="0"/>
        </w:rPr>
        <w:t xml:space="preserve">: PRC2 is a histone methyltransferase complex composed of the core components EZH2, SUZ12, and EED. It is responsible for depositing the repressive H3K27me3 mark, a key signal for gene silencing during development. Pathogenic variants in each of these three core components can cause overgrowth syndromes with significant phenotypic overlap, such as Weaver syndrome (</w:t>
      </w:r>
      <w:r w:rsidDel="00000000" w:rsidR="00000000" w:rsidRPr="00000000">
        <w:rPr>
          <w:rFonts w:ascii="Google Sans Text" w:cs="Google Sans Text" w:eastAsia="Google Sans Text" w:hAnsi="Google Sans Text"/>
          <w:i w:val="1"/>
          <w:color w:val="1b1c1d"/>
          <w:sz w:val="24"/>
          <w:szCs w:val="24"/>
          <w:rtl w:val="0"/>
        </w:rPr>
        <w:t xml:space="preserve">EZH2</w:t>
      </w:r>
      <w:r w:rsidDel="00000000" w:rsidR="00000000" w:rsidRPr="00000000">
        <w:rPr>
          <w:rFonts w:ascii="Google Sans Text" w:cs="Google Sans Text" w:eastAsia="Google Sans Text" w:hAnsi="Google Sans Text"/>
          <w:i w:val="0"/>
          <w:color w:val="1b1c1d"/>
          <w:sz w:val="24"/>
          <w:szCs w:val="24"/>
          <w:rtl w:val="0"/>
        </w:rPr>
        <w:t xml:space="preserve">), providing a clear example of how disrupting a single epigenetic module at different points leads to a common clinical outcome.</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8A">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III. Clinical Spectrum and Syndromic Manifestations: Paradigms and Overlaps</w:t>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clinical presentation of chromatinopathies is characterized by remarkable pleiotropy and variability. While each syndrome has a recognizable constellation of features, there is extensive overlap, making clinical diagnosis challenging. Examining several paradigmatic disorders in detail illustrates the core principles of pathogenesis and illuminates the concept of clinical and molecular convergence that defines this entire class of diseases.</w:t>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8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3.1. Cornelia de Lange Syndrome (CdLS): A Paradigm for Cohesinopathies</w:t>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Cornelia de Lange Syndrome serves as the historical and conceptual archetype of a chromatinopathy. It is a multisystem congenital disorder with a wide spectrum of severity.</w:t>
      </w:r>
    </w:p>
    <w:p w:rsidR="00000000" w:rsidDel="00000000" w:rsidP="00000000" w:rsidRDefault="00000000" w:rsidRPr="00000000" w14:paraId="00000091">
      <w:pPr>
        <w:numPr>
          <w:ilvl w:val="0"/>
          <w:numId w:val="1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Genetic Basis and Molecular Defect</w:t>
      </w:r>
      <w:r w:rsidDel="00000000" w:rsidR="00000000" w:rsidRPr="00000000">
        <w:rPr>
          <w:rFonts w:ascii="Google Sans Text" w:cs="Google Sans Text" w:eastAsia="Google Sans Text" w:hAnsi="Google Sans Text"/>
          <w:i w:val="0"/>
          <w:color w:val="1b1c1d"/>
          <w:sz w:val="24"/>
          <w:szCs w:val="24"/>
          <w:rtl w:val="0"/>
        </w:rPr>
        <w:t xml:space="preserve">: CdLS is a prime example of a "cohesinopathy," caused by pathogenic variants in genes that encode structural components or regulatory factors of the cohesin protein complex. The most frequently implicated gene is </w:t>
      </w:r>
      <w:r w:rsidDel="00000000" w:rsidR="00000000" w:rsidRPr="00000000">
        <w:rPr>
          <w:rFonts w:ascii="Google Sans Text" w:cs="Google Sans Text" w:eastAsia="Google Sans Text" w:hAnsi="Google Sans Text"/>
          <w:i w:val="1"/>
          <w:color w:val="1b1c1d"/>
          <w:sz w:val="24"/>
          <w:szCs w:val="24"/>
          <w:rtl w:val="0"/>
        </w:rPr>
        <w:t xml:space="preserve">NIPBL</w:t>
      </w:r>
      <w:r w:rsidDel="00000000" w:rsidR="00000000" w:rsidRPr="00000000">
        <w:rPr>
          <w:rFonts w:ascii="Google Sans Text" w:cs="Google Sans Text" w:eastAsia="Google Sans Text" w:hAnsi="Google Sans Text"/>
          <w:i w:val="0"/>
          <w:color w:val="1b1c1d"/>
          <w:sz w:val="24"/>
          <w:szCs w:val="24"/>
          <w:rtl w:val="0"/>
        </w:rPr>
        <w:t xml:space="preserve">, which encodes a key cohesin loading factor and accounts for approximately 70% of clinically diagnosed cases.</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 Other causative genes include the core cohesin subunits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1"/>
          <w:color w:val="1b1c1d"/>
          <w:sz w:val="24"/>
          <w:szCs w:val="24"/>
          <w:rtl w:val="0"/>
        </w:rPr>
        <w:t xml:space="preserve">SMC1A</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SMC3</w:t>
      </w:r>
      <w:r w:rsidDel="00000000" w:rsidR="00000000" w:rsidRPr="00000000">
        <w:rPr>
          <w:rFonts w:ascii="Google Sans Text" w:cs="Google Sans Text" w:eastAsia="Google Sans Text" w:hAnsi="Google Sans Text"/>
          <w:i w:val="0"/>
          <w:color w:val="1b1c1d"/>
          <w:sz w:val="24"/>
          <w:szCs w:val="24"/>
          <w:rtl w:val="0"/>
        </w:rPr>
        <w:t xml:space="preserve">, and </w:t>
      </w:r>
      <w:r w:rsidDel="00000000" w:rsidR="00000000" w:rsidRPr="00000000">
        <w:rPr>
          <w:rFonts w:ascii="Google Sans Text" w:cs="Google Sans Text" w:eastAsia="Google Sans Text" w:hAnsi="Google Sans Text"/>
          <w:i w:val="1"/>
          <w:color w:val="1b1c1d"/>
          <w:sz w:val="24"/>
          <w:szCs w:val="24"/>
          <w:rtl w:val="0"/>
        </w:rPr>
        <w:t xml:space="preserve">RAD21</w:t>
      </w:r>
      <w:r w:rsidDel="00000000" w:rsidR="00000000" w:rsidRPr="00000000">
        <w:rPr>
          <w:rFonts w:ascii="Google Sans Text" w:cs="Google Sans Text" w:eastAsia="Google Sans Text" w:hAnsi="Google Sans Text"/>
          <w:i w:val="0"/>
          <w:color w:val="1b1c1d"/>
          <w:sz w:val="24"/>
          <w:szCs w:val="24"/>
          <w:rtl w:val="0"/>
        </w:rPr>
        <w:t xml:space="preserve">, and the cohesin-associated deacetylase </w:t>
      </w:r>
      <w:r w:rsidDel="00000000" w:rsidR="00000000" w:rsidRPr="00000000">
        <w:rPr>
          <w:rFonts w:ascii="Google Sans Text" w:cs="Google Sans Text" w:eastAsia="Google Sans Text" w:hAnsi="Google Sans Text"/>
          <w:i w:val="1"/>
          <w:color w:val="1b1c1d"/>
          <w:sz w:val="24"/>
          <w:szCs w:val="24"/>
          <w:rtl w:val="0"/>
        </w:rPr>
        <w:t xml:space="preserve">HDAC8</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 A seminal discovery in the field was that the pathology of CdLS does not stem from defects in the canonical function of cohesin, which is to hold sister chromatids together during cell division. Indeed, cell lines from individuals with CdLS do not display significant cohesion defects.</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 Instead, the disease arises from the disruption of cohesin's non-canonical roles in the nucleus: regulating transcription and shaping the three-dimensional architecture of chromatin. Cohesin is critical for forming chromatin loops that bring distant enhancers and promoters into physical proximity, a fundamental mechanism of gene regulation. Disruption of this process leads to global gene expression dysregulation, which is the true molecular driver of the CdLS phenotype.</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p>
    <w:p w:rsidR="00000000" w:rsidDel="00000000" w:rsidP="00000000" w:rsidRDefault="00000000" w:rsidRPr="00000000" w14:paraId="00000092">
      <w:pPr>
        <w:numPr>
          <w:ilvl w:val="0"/>
          <w:numId w:val="1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Clinical Features</w:t>
      </w:r>
      <w:r w:rsidDel="00000000" w:rsidR="00000000" w:rsidRPr="00000000">
        <w:rPr>
          <w:rFonts w:ascii="Google Sans Text" w:cs="Google Sans Text" w:eastAsia="Google Sans Text" w:hAnsi="Google Sans Text"/>
          <w:i w:val="0"/>
          <w:color w:val="1b1c1d"/>
          <w:sz w:val="24"/>
          <w:szCs w:val="24"/>
          <w:rtl w:val="0"/>
        </w:rPr>
        <w:t xml:space="preserve">: The clinical presentation of classic CdLS is distinctive and often recognizable. It is characterized by significant pre- and postnatal growth restriction, leading to short stature. Intellectual disability is nearly universal and typically ranges from moderate to profound. The craniofacial features are particularly characteristic and include arched, well-defined eyebrows that often meet in the midline (synophrys), long, curly eyelashes, a short nose with an upturned tip and anteverted nares, a long, smooth philtrum, and a thin upper lip with downturned corners of the mouth.</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One of the most severe manifestations is the presence of upper limb reduction defects, which can range from small hands and clinodactyly (curved fifth finger) to severe malformations such as oligodactyly (missing fingers) or even absence of the forearm.</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Other common findings include excessive body hair (hirsutism), gastroesophageal reflux disease (GERD), congenital heart defects, and genitourinary anomalies.</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r w:rsidDel="00000000" w:rsidR="00000000" w:rsidRPr="00000000">
        <w:rPr>
          <w:rFonts w:ascii="Google Sans Text" w:cs="Google Sans Text" w:eastAsia="Google Sans Text" w:hAnsi="Google Sans Text"/>
          <w:i w:val="0"/>
          <w:color w:val="1b1c1d"/>
          <w:sz w:val="24"/>
          <w:szCs w:val="24"/>
          <w:rtl w:val="0"/>
        </w:rPr>
        <w:t xml:space="preserve"> To aid in diagnosis and stratify severity, an international consensus scoring system has been developed, which assigns points for cardinal and suggestive features, with a score of 11 or higher confirming a clinical diagnosis of classic CdLS.</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9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3.2. Rett Syndrome: A Disorder of Epigenetic Reading and DNA Methylation</w:t>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Rett Syndrome (RTT) is a profound X-linked neurodevelopmental disorder that primarily affects females and offers a distinct paradigm of epigenetic dysregulation centered on the interpretation of DNA methylation marks.</w:t>
      </w:r>
    </w:p>
    <w:p w:rsidR="00000000" w:rsidDel="00000000" w:rsidP="00000000" w:rsidRDefault="00000000" w:rsidRPr="00000000" w14:paraId="00000097">
      <w:pPr>
        <w:numPr>
          <w:ilvl w:val="0"/>
          <w:numId w:val="1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Genetic Basis and Molecular Defect</w:t>
      </w:r>
      <w:r w:rsidDel="00000000" w:rsidR="00000000" w:rsidRPr="00000000">
        <w:rPr>
          <w:rFonts w:ascii="Google Sans Text" w:cs="Google Sans Text" w:eastAsia="Google Sans Text" w:hAnsi="Google Sans Text"/>
          <w:i w:val="0"/>
          <w:color w:val="1b1c1d"/>
          <w:sz w:val="24"/>
          <w:szCs w:val="24"/>
          <w:rtl w:val="0"/>
        </w:rPr>
        <w:t xml:space="preserve">: The vast majority of classic RTT cases are caused by pathogenic variants in the </w:t>
      </w:r>
      <w:r w:rsidDel="00000000" w:rsidR="00000000" w:rsidRPr="00000000">
        <w:rPr>
          <w:rFonts w:ascii="Google Sans Text" w:cs="Google Sans Text" w:eastAsia="Google Sans Text" w:hAnsi="Google Sans Text"/>
          <w:i w:val="1"/>
          <w:color w:val="1b1c1d"/>
          <w:sz w:val="24"/>
          <w:szCs w:val="24"/>
          <w:rtl w:val="0"/>
        </w:rPr>
        <w:t xml:space="preserve">MECP2</w:t>
      </w:r>
      <w:r w:rsidDel="00000000" w:rsidR="00000000" w:rsidRPr="00000000">
        <w:rPr>
          <w:rFonts w:ascii="Google Sans Text" w:cs="Google Sans Text" w:eastAsia="Google Sans Text" w:hAnsi="Google Sans Text"/>
          <w:i w:val="0"/>
          <w:color w:val="1b1c1d"/>
          <w:sz w:val="24"/>
          <w:szCs w:val="24"/>
          <w:rtl w:val="0"/>
        </w:rPr>
        <w:t xml:space="preserve"> gene, located on the X chromosome.</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r w:rsidDel="00000000" w:rsidR="00000000" w:rsidRPr="00000000">
        <w:rPr>
          <w:rFonts w:ascii="Google Sans Text" w:cs="Google Sans Text" w:eastAsia="Google Sans Text" w:hAnsi="Google Sans Text"/>
          <w:i w:val="0"/>
          <w:color w:val="1b1c1d"/>
          <w:sz w:val="24"/>
          <w:szCs w:val="24"/>
          <w:rtl w:val="0"/>
        </w:rPr>
        <w:t xml:space="preserve"> The protein encoded by this gene, Methyl-CpG-binding protein 2 (MeCP2), is a quintessential "reader" of the epigenome. MeCP2 is highly expressed in neurons and functions as a transcriptional repressor. It binds specifically to methylated CpG dinucleotides in the genome and, once bound, recruits co-repressor complexes (which include histone deacetylases) to silence the expression of target genes.</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r w:rsidDel="00000000" w:rsidR="00000000" w:rsidRPr="00000000">
        <w:rPr>
          <w:rFonts w:ascii="Google Sans Text" w:cs="Google Sans Text" w:eastAsia="Google Sans Text" w:hAnsi="Google Sans Text"/>
          <w:i w:val="0"/>
          <w:color w:val="1b1c1d"/>
          <w:sz w:val="24"/>
          <w:szCs w:val="24"/>
          <w:rtl w:val="0"/>
        </w:rPr>
        <w:t xml:space="preserve"> Loss-of-function mutations in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1"/>
          <w:color w:val="1b1c1d"/>
          <w:sz w:val="24"/>
          <w:szCs w:val="24"/>
          <w:rtl w:val="0"/>
        </w:rPr>
        <w:t xml:space="preserve">MECP2</w:t>
      </w:r>
      <w:r w:rsidDel="00000000" w:rsidR="00000000" w:rsidRPr="00000000">
        <w:rPr>
          <w:rFonts w:ascii="Google Sans Text" w:cs="Google Sans Text" w:eastAsia="Google Sans Text" w:hAnsi="Google Sans Text"/>
          <w:i w:val="0"/>
          <w:color w:val="1b1c1d"/>
          <w:sz w:val="24"/>
          <w:szCs w:val="24"/>
          <w:rtl w:val="0"/>
        </w:rPr>
        <w:t xml:space="preserve"> disrupt this critical silencing mechanism, leading to the inappropriate expression of a multitude of downstream genes. The pathophysiology is complex and not fully elucidated, but a key consequence appears to be the disruption of synaptic function and neuronal circuit homeostasis. Specifically, MeCP2 dysfunction leads to an imbalance between excitatory and inhibitory (E/I) neurotransmission, with the specific nature of the imbalance (hypo- or hyper-excitation) being highly dependent on the specific brain region and neuronal cell type affected.</w:t>
      </w:r>
      <w:r w:rsidDel="00000000" w:rsidR="00000000" w:rsidRPr="00000000">
        <w:rPr>
          <w:rFonts w:ascii="Google Sans Text" w:cs="Google Sans Text" w:eastAsia="Google Sans Text" w:hAnsi="Google Sans Text"/>
          <w:i w:val="0"/>
          <w:color w:val="575b5f"/>
          <w:sz w:val="24"/>
          <w:szCs w:val="24"/>
          <w:vertAlign w:val="superscript"/>
          <w:rtl w:val="0"/>
        </w:rPr>
        <w:t xml:space="preserve">40</w:t>
      </w:r>
      <w:r w:rsidDel="00000000" w:rsidR="00000000" w:rsidRPr="00000000">
        <w:rPr>
          <w:rFonts w:ascii="Google Sans Text" w:cs="Google Sans Text" w:eastAsia="Google Sans Text" w:hAnsi="Google Sans Text"/>
          <w:i w:val="0"/>
          <w:color w:val="1b1c1d"/>
          <w:sz w:val="24"/>
          <w:szCs w:val="24"/>
          <w:rtl w:val="0"/>
        </w:rPr>
        <w:t xml:space="preserve"> This circuit-level disruption is thought to underlie the severe neurological symptoms of the disorder.</w:t>
      </w:r>
    </w:p>
    <w:p w:rsidR="00000000" w:rsidDel="00000000" w:rsidP="00000000" w:rsidRDefault="00000000" w:rsidRPr="00000000" w14:paraId="00000098">
      <w:pPr>
        <w:numPr>
          <w:ilvl w:val="0"/>
          <w:numId w:val="1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Clinical Features</w:t>
      </w:r>
      <w:r w:rsidDel="00000000" w:rsidR="00000000" w:rsidRPr="00000000">
        <w:rPr>
          <w:rFonts w:ascii="Google Sans Text" w:cs="Google Sans Text" w:eastAsia="Google Sans Text" w:hAnsi="Google Sans Text"/>
          <w:i w:val="0"/>
          <w:color w:val="1b1c1d"/>
          <w:sz w:val="24"/>
          <w:szCs w:val="24"/>
          <w:rtl w:val="0"/>
        </w:rPr>
        <w:t xml:space="preserve">: RTT is defined by a unique and devastating clinical trajectory. Affected girls typically experience a period of apparently normal development for the first 6 to 18 months of life. This is followed by a period of developmental stagnation and then a phase of rapid regression, during which they lose previously acquired purposeful hand skills and spoken language.</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r w:rsidDel="00000000" w:rsidR="00000000" w:rsidRPr="00000000">
        <w:rPr>
          <w:rFonts w:ascii="Google Sans Text" w:cs="Google Sans Text" w:eastAsia="Google Sans Text" w:hAnsi="Google Sans Text"/>
          <w:i w:val="0"/>
          <w:color w:val="1b1c1d"/>
          <w:sz w:val="24"/>
          <w:szCs w:val="24"/>
          <w:rtl w:val="0"/>
        </w:rPr>
        <w:t xml:space="preserve"> As purposeful hand use is lost, it is replaced by characteristic, repetitive stereotypic hand movements, such as wringing, washing, clapping, or mouthing motions.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r w:rsidDel="00000000" w:rsidR="00000000" w:rsidRPr="00000000">
        <w:rPr>
          <w:rFonts w:ascii="Google Sans Text" w:cs="Google Sans Text" w:eastAsia="Google Sans Text" w:hAnsi="Google Sans Text"/>
          <w:i w:val="0"/>
          <w:color w:val="1b1c1d"/>
          <w:sz w:val="24"/>
          <w:szCs w:val="24"/>
          <w:rtl w:val="0"/>
        </w:rPr>
        <w:t xml:space="preserve"> Other core features that emerge include gait abnormalities (ataxia or apraxia), seizures, breathing irregularities during wakefulness (e.g., hyperventilation, breath-holding, apnea), and acquired microcephaly.</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r w:rsidDel="00000000" w:rsidR="00000000" w:rsidRPr="00000000">
        <w:rPr>
          <w:rFonts w:ascii="Google Sans Text" w:cs="Google Sans Text" w:eastAsia="Google Sans Text" w:hAnsi="Google Sans Text"/>
          <w:i w:val="0"/>
          <w:color w:val="1b1c1d"/>
          <w:sz w:val="24"/>
          <w:szCs w:val="24"/>
          <w:rtl w:val="0"/>
        </w:rPr>
        <w:t xml:space="preserve"> While the regression is profound, RTT is not a degenerative disorder; after the regression phase, individuals enter a long plateau stage that can last for decades, followed by a late stage of motor deterioration.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r w:rsidDel="00000000" w:rsidR="00000000" w:rsidRPr="00000000">
        <w:rPr>
          <w:rFonts w:ascii="Google Sans Text" w:cs="Google Sans Text" w:eastAsia="Google Sans Text" w:hAnsi="Google Sans Text"/>
          <w:i w:val="0"/>
          <w:color w:val="1b1c1d"/>
          <w:sz w:val="24"/>
          <w:szCs w:val="24"/>
          <w:rtl w:val="0"/>
        </w:rPr>
        <w:t xml:space="preserve"> The severe apraxia and loss of speech make cognitive assessment extremely difficult, but the cognitive impairment is considered to be severe.</w:t>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9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3.3. Kabuki Syndrome: A Tale of Two Histone Modifiers</w:t>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Kabuki Syndrome (KS) provides a compelling illustration of pathway convergence, where mutations in two functionally distinct histone-modifying enzymes lead to a single, clinically recognizable syndrome.</w:t>
      </w:r>
    </w:p>
    <w:p w:rsidR="00000000" w:rsidDel="00000000" w:rsidP="00000000" w:rsidRDefault="00000000" w:rsidRPr="00000000" w14:paraId="0000009D">
      <w:pPr>
        <w:numPr>
          <w:ilvl w:val="0"/>
          <w:numId w:val="1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Genetic Basis and Molecular Defect</w:t>
      </w:r>
      <w:r w:rsidDel="00000000" w:rsidR="00000000" w:rsidRPr="00000000">
        <w:rPr>
          <w:rFonts w:ascii="Google Sans Text" w:cs="Google Sans Text" w:eastAsia="Google Sans Text" w:hAnsi="Google Sans Text"/>
          <w:i w:val="0"/>
          <w:color w:val="1b1c1d"/>
          <w:sz w:val="24"/>
          <w:szCs w:val="24"/>
          <w:rtl w:val="0"/>
        </w:rPr>
        <w:t xml:space="preserve">: KS is caused by heterozygous pathogenic variants in one of two genes. Type 1 KS, accounting for the majority of cases, is caused by autosomal dominant mutations in </w:t>
      </w:r>
      <w:r w:rsidDel="00000000" w:rsidR="00000000" w:rsidRPr="00000000">
        <w:rPr>
          <w:rFonts w:ascii="Google Sans Text" w:cs="Google Sans Text" w:eastAsia="Google Sans Text" w:hAnsi="Google Sans Text"/>
          <w:i w:val="1"/>
          <w:color w:val="1b1c1d"/>
          <w:sz w:val="24"/>
          <w:szCs w:val="24"/>
          <w:rtl w:val="0"/>
        </w:rPr>
        <w:t xml:space="preserve">KMT2D</w:t>
      </w:r>
      <w:r w:rsidDel="00000000" w:rsidR="00000000" w:rsidRPr="00000000">
        <w:rPr>
          <w:rFonts w:ascii="Google Sans Text" w:cs="Google Sans Text" w:eastAsia="Google Sans Text" w:hAnsi="Google Sans Text"/>
          <w:i w:val="0"/>
          <w:color w:val="1b1c1d"/>
          <w:sz w:val="24"/>
          <w:szCs w:val="24"/>
          <w:rtl w:val="0"/>
        </w:rPr>
        <w:t xml:space="preserve">. Type 2 KS is caused by X-linked mutations in </w:t>
      </w:r>
      <w:r w:rsidDel="00000000" w:rsidR="00000000" w:rsidRPr="00000000">
        <w:rPr>
          <w:rFonts w:ascii="Google Sans Text" w:cs="Google Sans Text" w:eastAsia="Google Sans Text" w:hAnsi="Google Sans Text"/>
          <w:i w:val="1"/>
          <w:color w:val="1b1c1d"/>
          <w:sz w:val="24"/>
          <w:szCs w:val="24"/>
          <w:rtl w:val="0"/>
        </w:rPr>
        <w:t xml:space="preserve">KDM6A</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These two genes encode enzymes with opposing, yet complementary, functions in gene regulation.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1"/>
          <w:color w:val="1b1c1d"/>
          <w:sz w:val="24"/>
          <w:szCs w:val="24"/>
          <w:rtl w:val="0"/>
        </w:rPr>
        <w:t xml:space="preserve">KMT2D</w:t>
      </w:r>
      <w:r w:rsidDel="00000000" w:rsidR="00000000" w:rsidRPr="00000000">
        <w:rPr>
          <w:rFonts w:ascii="Google Sans Text" w:cs="Google Sans Text" w:eastAsia="Google Sans Text" w:hAnsi="Google Sans Text"/>
          <w:i w:val="0"/>
          <w:color w:val="1b1c1d"/>
          <w:sz w:val="24"/>
          <w:szCs w:val="24"/>
          <w:rtl w:val="0"/>
        </w:rPr>
        <w:t xml:space="preserve"> encodes a histone methyltransferase that "writes" an activating mark, H3K4 methylation, at enhancer and promoter regions. </w:t>
      </w:r>
      <w:r w:rsidDel="00000000" w:rsidR="00000000" w:rsidRPr="00000000">
        <w:rPr>
          <w:rFonts w:ascii="Google Sans Text" w:cs="Google Sans Text" w:eastAsia="Google Sans Text" w:hAnsi="Google Sans Text"/>
          <w:i w:val="1"/>
          <w:color w:val="1b1c1d"/>
          <w:sz w:val="24"/>
          <w:szCs w:val="24"/>
          <w:rtl w:val="0"/>
        </w:rPr>
        <w:t xml:space="preserve">KDM6A</w:t>
      </w:r>
      <w:r w:rsidDel="00000000" w:rsidR="00000000" w:rsidRPr="00000000">
        <w:rPr>
          <w:rFonts w:ascii="Google Sans Text" w:cs="Google Sans Text" w:eastAsia="Google Sans Text" w:hAnsi="Google Sans Text"/>
          <w:i w:val="0"/>
          <w:color w:val="1b1c1d"/>
          <w:sz w:val="24"/>
          <w:szCs w:val="24"/>
          <w:rtl w:val="0"/>
        </w:rPr>
        <w:t xml:space="preserve"> encodes a histone demethylase that "erases" a repressive mark, H3K27 methylation.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Both of these actions ultimately promote a chromatin state that is permissive for transcription. Therefore, a loss-of-function mutation in either gene results in the same downstream consequence: a failure to properly activate a shared set of target genes that are essential for normal development. The core pathogenesis of KS can thus be conceptualized as an imbalance between the "switch-on" and "switch-off" states of chromatin, leading to insufficient expression of key developmental regulators.</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p>
    <w:p w:rsidR="00000000" w:rsidDel="00000000" w:rsidP="00000000" w:rsidRDefault="00000000" w:rsidRPr="00000000" w14:paraId="0000009E">
      <w:pPr>
        <w:numPr>
          <w:ilvl w:val="0"/>
          <w:numId w:val="1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Clinical Features</w:t>
      </w:r>
      <w:r w:rsidDel="00000000" w:rsidR="00000000" w:rsidRPr="00000000">
        <w:rPr>
          <w:rFonts w:ascii="Google Sans Text" w:cs="Google Sans Text" w:eastAsia="Google Sans Text" w:hAnsi="Google Sans Text"/>
          <w:i w:val="0"/>
          <w:color w:val="1b1c1d"/>
          <w:sz w:val="24"/>
          <w:szCs w:val="24"/>
          <w:rtl w:val="0"/>
        </w:rPr>
        <w:t xml:space="preserve">: Individuals with KS exhibit a characteristic phenotype that includes distinctive facial features, which are the source of the syndrome's name. These include long palpebral fissures (eye openings) with eversion of the lateral third of the lower eyelid, broad and arched eyebrows that are often sparse or notched in the lateral third, a short columella with a depressed nasal tip, and large, prominent, or cupped ears.</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Other cardinal features include postnatal growth deficiency, skeletal anomalies (such as brachydactyly and spinal column abnormalities), persistence of fetal fingertip pads, and mild to moderate intellectual disability.</w:t>
      </w:r>
      <w:r w:rsidDel="00000000" w:rsidR="00000000" w:rsidRPr="00000000">
        <w:rPr>
          <w:rFonts w:ascii="Google Sans Text" w:cs="Google Sans Text" w:eastAsia="Google Sans Text" w:hAnsi="Google Sans Text"/>
          <w:i w:val="0"/>
          <w:color w:val="575b5f"/>
          <w:sz w:val="24"/>
          <w:szCs w:val="24"/>
          <w:vertAlign w:val="superscript"/>
          <w:rtl w:val="0"/>
        </w:rPr>
        <w:t xml:space="preserve">48</w:t>
      </w:r>
      <w:r w:rsidDel="00000000" w:rsidR="00000000" w:rsidRPr="00000000">
        <w:rPr>
          <w:rFonts w:ascii="Google Sans Text" w:cs="Google Sans Text" w:eastAsia="Google Sans Text" w:hAnsi="Google Sans Text"/>
          <w:i w:val="0"/>
          <w:color w:val="1b1c1d"/>
          <w:sz w:val="24"/>
          <w:szCs w:val="24"/>
          <w:rtl w:val="0"/>
        </w:rPr>
        <w:t xml:space="preserve"> A particularly prominent and clinically significant aspect of KS is the high frequency of immune system dysfunction. Patients are susceptible to recurrent infections, often due to hypogammaglobulinemia (particularly IgA deficiency), and have a markedly increased risk of developing autoimmune disorders, such as idiopathic thrombocytopenic purpura (ITP) and autoimmune hemolytic anemia.</w:t>
      </w: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r w:rsidDel="00000000" w:rsidR="00000000" w:rsidRPr="00000000">
        <w:rPr>
          <w:rFonts w:ascii="Google Sans Text" w:cs="Google Sans Text" w:eastAsia="Google Sans Text" w:hAnsi="Google Sans Text"/>
          <w:i w:val="0"/>
          <w:color w:val="1b1c1d"/>
          <w:sz w:val="24"/>
          <w:szCs w:val="24"/>
          <w:rtl w:val="0"/>
        </w:rPr>
        <w:t xml:space="preserve"> Congenital heart defects are also common, particularly in individuals with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1"/>
          <w:color w:val="1b1c1d"/>
          <w:sz w:val="24"/>
          <w:szCs w:val="24"/>
          <w:rtl w:val="0"/>
        </w:rPr>
        <w:t xml:space="preserve">KMT2D</w:t>
      </w:r>
      <w:r w:rsidDel="00000000" w:rsidR="00000000" w:rsidRPr="00000000">
        <w:rPr>
          <w:rFonts w:ascii="Google Sans Text" w:cs="Google Sans Text" w:eastAsia="Google Sans Text" w:hAnsi="Google Sans Text"/>
          <w:i w:val="0"/>
          <w:color w:val="1b1c1d"/>
          <w:sz w:val="24"/>
          <w:szCs w:val="24"/>
          <w:rtl w:val="0"/>
        </w:rPr>
        <w:t xml:space="preserve"> mutations.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47</w:t>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Table 2: Comparative Clinical and Molecular Features of Cornelia de Lange, Rett, and Kabuki Syndromes</w:t>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Feature Category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Cornelia de Lange Syndrome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Rett Syndrome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Kabuki Syndrome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Genetic Basis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1"/>
                <w:color w:val="1b1c1d"/>
                <w:sz w:val="20"/>
                <w:szCs w:val="20"/>
                <w:shd w:fill="auto" w:val="clear"/>
                <w:rtl w:val="0"/>
              </w:rPr>
              <w:t xml:space="preserve">NIPBL</w:t>
            </w:r>
            <w:r w:rsidDel="00000000" w:rsidR="00000000" w:rsidRPr="00000000">
              <w:rPr>
                <w:rFonts w:ascii="Google Sans Text" w:cs="Google Sans Text" w:eastAsia="Google Sans Text" w:hAnsi="Google Sans Text"/>
                <w:i w:val="0"/>
                <w:color w:val="1b1c1d"/>
                <w:sz w:val="20"/>
                <w:szCs w:val="20"/>
                <w:shd w:fill="auto" w:val="clear"/>
                <w:rtl w:val="0"/>
              </w:rPr>
              <w:t xml:space="preserve">, </w:t>
            </w:r>
            <w:r w:rsidDel="00000000" w:rsidR="00000000" w:rsidRPr="00000000">
              <w:rPr>
                <w:rFonts w:ascii="Google Sans Text" w:cs="Google Sans Text" w:eastAsia="Google Sans Text" w:hAnsi="Google Sans Text"/>
                <w:i w:val="1"/>
                <w:color w:val="1b1c1d"/>
                <w:sz w:val="20"/>
                <w:szCs w:val="20"/>
                <w:shd w:fill="auto" w:val="clear"/>
                <w:rtl w:val="0"/>
              </w:rPr>
              <w:t xml:space="preserve">SMC1A</w:t>
            </w:r>
            <w:r w:rsidDel="00000000" w:rsidR="00000000" w:rsidRPr="00000000">
              <w:rPr>
                <w:rFonts w:ascii="Google Sans Text" w:cs="Google Sans Text" w:eastAsia="Google Sans Text" w:hAnsi="Google Sans Text"/>
                <w:i w:val="0"/>
                <w:color w:val="1b1c1d"/>
                <w:sz w:val="20"/>
                <w:szCs w:val="20"/>
                <w:shd w:fill="auto" w:val="clear"/>
                <w:rtl w:val="0"/>
              </w:rPr>
              <w:t xml:space="preserve">, </w:t>
            </w:r>
            <w:r w:rsidDel="00000000" w:rsidR="00000000" w:rsidRPr="00000000">
              <w:rPr>
                <w:rFonts w:ascii="Google Sans Text" w:cs="Google Sans Text" w:eastAsia="Google Sans Text" w:hAnsi="Google Sans Text"/>
                <w:i w:val="1"/>
                <w:color w:val="1b1c1d"/>
                <w:sz w:val="20"/>
                <w:szCs w:val="20"/>
                <w:shd w:fill="auto" w:val="clear"/>
                <w:rtl w:val="0"/>
              </w:rPr>
              <w:t xml:space="preserve">SMC3</w:t>
            </w:r>
            <w:r w:rsidDel="00000000" w:rsidR="00000000" w:rsidRPr="00000000">
              <w:rPr>
                <w:rFonts w:ascii="Google Sans Text" w:cs="Google Sans Text" w:eastAsia="Google Sans Text" w:hAnsi="Google Sans Text"/>
                <w:i w:val="0"/>
                <w:color w:val="1b1c1d"/>
                <w:sz w:val="20"/>
                <w:szCs w:val="20"/>
                <w:shd w:fill="auto" w:val="clear"/>
                <w:rtl w:val="0"/>
              </w:rPr>
              <w:t xml:space="preserve">, </w:t>
            </w:r>
            <w:r w:rsidDel="00000000" w:rsidR="00000000" w:rsidRPr="00000000">
              <w:rPr>
                <w:rFonts w:ascii="Google Sans Text" w:cs="Google Sans Text" w:eastAsia="Google Sans Text" w:hAnsi="Google Sans Text"/>
                <w:i w:val="1"/>
                <w:color w:val="1b1c1d"/>
                <w:sz w:val="20"/>
                <w:szCs w:val="20"/>
                <w:shd w:fill="auto" w:val="clear"/>
                <w:rtl w:val="0"/>
              </w:rPr>
              <w:t xml:space="preserve">RAD21</w:t>
            </w:r>
            <w:r w:rsidDel="00000000" w:rsidR="00000000" w:rsidRPr="00000000">
              <w:rPr>
                <w:rFonts w:ascii="Google Sans Text" w:cs="Google Sans Text" w:eastAsia="Google Sans Text" w:hAnsi="Google Sans Text"/>
                <w:i w:val="0"/>
                <w:color w:val="1b1c1d"/>
                <w:sz w:val="20"/>
                <w:szCs w:val="20"/>
                <w:shd w:fill="auto" w:val="clear"/>
                <w:rtl w:val="0"/>
              </w:rPr>
              <w:t xml:space="preserve">, </w:t>
            </w:r>
            <w:r w:rsidDel="00000000" w:rsidR="00000000" w:rsidRPr="00000000">
              <w:rPr>
                <w:rFonts w:ascii="Google Sans Text" w:cs="Google Sans Text" w:eastAsia="Google Sans Text" w:hAnsi="Google Sans Text"/>
                <w:i w:val="1"/>
                <w:color w:val="1b1c1d"/>
                <w:sz w:val="20"/>
                <w:szCs w:val="20"/>
                <w:shd w:fill="auto" w:val="clear"/>
                <w:rtl w:val="0"/>
              </w:rPr>
              <w:t xml:space="preserve">HDAC8</w:t>
            </w:r>
            <w:r w:rsidDel="00000000" w:rsidR="00000000" w:rsidRPr="00000000">
              <w:rPr>
                <w:rFonts w:ascii="Google Sans Text" w:cs="Google Sans Text" w:eastAsia="Google Sans Text" w:hAnsi="Google Sans Text"/>
                <w:i w:val="0"/>
                <w:color w:val="1b1c1d"/>
                <w:sz w:val="20"/>
                <w:szCs w:val="20"/>
                <w:shd w:fill="auto" w:val="clear"/>
                <w:rtl w:val="0"/>
              </w:rPr>
              <w:t xml:space="preserve"> (Cohesin complex) </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1"/>
                <w:color w:val="1b1c1d"/>
                <w:sz w:val="20"/>
                <w:szCs w:val="20"/>
                <w:shd w:fill="auto" w:val="clear"/>
                <w:rtl w:val="0"/>
              </w:rPr>
              <w:t xml:space="preserve">MECP2</w:t>
            </w:r>
            <w:r w:rsidDel="00000000" w:rsidR="00000000" w:rsidRPr="00000000">
              <w:rPr>
                <w:rFonts w:ascii="Google Sans Text" w:cs="Google Sans Text" w:eastAsia="Google Sans Text" w:hAnsi="Google Sans Text"/>
                <w:i w:val="0"/>
                <w:color w:val="1b1c1d"/>
                <w:sz w:val="20"/>
                <w:szCs w:val="20"/>
                <w:shd w:fill="auto" w:val="clear"/>
                <w:rtl w:val="0"/>
              </w:rPr>
              <w:t xml:space="preserve"> (X-linked) </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1"/>
                <w:color w:val="1b1c1d"/>
                <w:sz w:val="20"/>
                <w:szCs w:val="20"/>
                <w:shd w:fill="auto" w:val="clear"/>
                <w:rtl w:val="0"/>
              </w:rPr>
              <w:t xml:space="preserve">KMT2D</w:t>
            </w:r>
            <w:r w:rsidDel="00000000" w:rsidR="00000000" w:rsidRPr="00000000">
              <w:rPr>
                <w:rFonts w:ascii="Google Sans Text" w:cs="Google Sans Text" w:eastAsia="Google Sans Text" w:hAnsi="Google Sans Text"/>
                <w:i w:val="0"/>
                <w:color w:val="1b1c1d"/>
                <w:sz w:val="20"/>
                <w:szCs w:val="20"/>
                <w:shd w:fill="auto" w:val="clear"/>
                <w:rtl w:val="0"/>
              </w:rPr>
              <w:t xml:space="preserve"> (Type 1, AD), </w:t>
            </w:r>
            <w:r w:rsidDel="00000000" w:rsidR="00000000" w:rsidRPr="00000000">
              <w:rPr>
                <w:rFonts w:ascii="Google Sans Text" w:cs="Google Sans Text" w:eastAsia="Google Sans Text" w:hAnsi="Google Sans Text"/>
                <w:i w:val="1"/>
                <w:color w:val="1b1c1d"/>
                <w:sz w:val="20"/>
                <w:szCs w:val="20"/>
                <w:shd w:fill="auto" w:val="clear"/>
                <w:rtl w:val="0"/>
              </w:rPr>
              <w:t xml:space="preserve">KDM6A</w:t>
            </w:r>
            <w:r w:rsidDel="00000000" w:rsidR="00000000" w:rsidRPr="00000000">
              <w:rPr>
                <w:rFonts w:ascii="Google Sans Text" w:cs="Google Sans Text" w:eastAsia="Google Sans Text" w:hAnsi="Google Sans Text"/>
                <w:i w:val="0"/>
                <w:color w:val="1b1c1d"/>
                <w:sz w:val="20"/>
                <w:szCs w:val="20"/>
                <w:shd w:fill="auto" w:val="clear"/>
                <w:rtl w:val="0"/>
              </w:rPr>
              <w:t xml:space="preserve"> (Type 2, X-linked) </w:t>
            </w:r>
            <w:r w:rsidDel="00000000" w:rsidR="00000000" w:rsidRPr="00000000">
              <w:rPr>
                <w:rFonts w:ascii="Google Sans Text" w:cs="Google Sans Text" w:eastAsia="Google Sans Text" w:hAnsi="Google Sans Text"/>
                <w:i w:val="0"/>
                <w:color w:val="575b5f"/>
                <w:sz w:val="24"/>
                <w:szCs w:val="24"/>
                <w:vertAlign w:val="superscript"/>
                <w:rtl w:val="0"/>
              </w:rPr>
              <w:t xml:space="preserve">45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Molecular Function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Chromatin architecture, transcriptional regulation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"Reader" of DNA methylation, transcriptional repressor </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Histone H3K4 "writer" (</w:t>
            </w:r>
            <w:r w:rsidDel="00000000" w:rsidR="00000000" w:rsidRPr="00000000">
              <w:rPr>
                <w:rFonts w:ascii="Google Sans Text" w:cs="Google Sans Text" w:eastAsia="Google Sans Text" w:hAnsi="Google Sans Text"/>
                <w:i w:val="1"/>
                <w:color w:val="1b1c1d"/>
                <w:sz w:val="20"/>
                <w:szCs w:val="20"/>
                <w:shd w:fill="auto" w:val="clear"/>
                <w:rtl w:val="0"/>
              </w:rPr>
              <w:t xml:space="preserve">KMT2D</w:t>
            </w:r>
            <w:r w:rsidDel="00000000" w:rsidR="00000000" w:rsidRPr="00000000">
              <w:rPr>
                <w:rFonts w:ascii="Google Sans Text" w:cs="Google Sans Text" w:eastAsia="Google Sans Text" w:hAnsi="Google Sans Text"/>
                <w:i w:val="0"/>
                <w:color w:val="1b1c1d"/>
                <w:sz w:val="20"/>
                <w:szCs w:val="20"/>
                <w:shd w:fill="auto" w:val="clear"/>
                <w:rtl w:val="0"/>
              </w:rPr>
              <w:t xml:space="preserve">), Histone H3K27 "eraser" (</w:t>
            </w:r>
            <w:r w:rsidDel="00000000" w:rsidR="00000000" w:rsidRPr="00000000">
              <w:rPr>
                <w:rFonts w:ascii="Google Sans Text" w:cs="Google Sans Text" w:eastAsia="Google Sans Text" w:hAnsi="Google Sans Text"/>
                <w:i w:val="1"/>
                <w:color w:val="1b1c1d"/>
                <w:sz w:val="20"/>
                <w:szCs w:val="20"/>
                <w:shd w:fill="auto" w:val="clear"/>
                <w:rtl w:val="0"/>
              </w:rPr>
              <w:t xml:space="preserve">KDM6A</w:t>
            </w:r>
            <w:r w:rsidDel="00000000" w:rsidR="00000000" w:rsidRPr="00000000">
              <w:rPr>
                <w:rFonts w:ascii="Google Sans Text" w:cs="Google Sans Text" w:eastAsia="Google Sans Text" w:hAnsi="Google Sans Text"/>
                <w:i w:val="0"/>
                <w:color w:val="1b1c1d"/>
                <w:sz w:val="20"/>
                <w:szCs w:val="20"/>
                <w:shd w:fill="auto" w:val="clear"/>
                <w:rtl w:val="0"/>
              </w:rPr>
              <w:t xml:space="preserve">)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Neurodevelopment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Moderate to profound intellectual disability </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Early normal development followed by rapid regression of language and motor skills; severe cognitive impairment </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Mild to moderate intellectual disability </w:t>
            </w:r>
            <w:r w:rsidDel="00000000" w:rsidR="00000000" w:rsidRPr="00000000">
              <w:rPr>
                <w:rFonts w:ascii="Google Sans Text" w:cs="Google Sans Text" w:eastAsia="Google Sans Text" w:hAnsi="Google Sans Text"/>
                <w:i w:val="0"/>
                <w:color w:val="575b5f"/>
                <w:sz w:val="24"/>
                <w:szCs w:val="24"/>
                <w:vertAlign w:val="superscript"/>
                <w:rtl w:val="0"/>
              </w:rPr>
              <w:t xml:space="preserve">48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Craniofacial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Synophrys, arched eyebrows, long eyelashes, small upturned nose, thin upper lip </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Normal at birth; acquired microcephaly develops over time </w:t>
            </w:r>
            <w:r w:rsidDel="00000000" w:rsidR="00000000" w:rsidRPr="00000000">
              <w:rPr>
                <w:rFonts w:ascii="Google Sans Text" w:cs="Google Sans Text" w:eastAsia="Google Sans Text" w:hAnsi="Google Sans Text"/>
                <w:i w:val="0"/>
                <w:color w:val="575b5f"/>
                <w:sz w:val="24"/>
                <w:szCs w:val="24"/>
                <w:vertAlign w:val="superscript"/>
                <w:rtl w:val="0"/>
              </w:rPr>
              <w:t xml:space="preserve">41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Long palpebral fissures with eversion, arched/sparse eyebrows, depressed nasal tip, prominent ears </w:t>
            </w: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Skeletal / Growth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Severe pre- and postnatal growth restriction; severe upper limb reduction defects are common </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Deceleration of head growth; later growth failure and development of scoliosis </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Postnatal growth deficiency; skeletal anomalies (e.g., brachydactyly, scoliosis); persistent fetal fingertip pads </w:t>
            </w:r>
            <w:r w:rsidDel="00000000" w:rsidR="00000000" w:rsidRPr="00000000">
              <w:rPr>
                <w:rFonts w:ascii="Google Sans Text" w:cs="Google Sans Text" w:eastAsia="Google Sans Text" w:hAnsi="Google Sans Text"/>
                <w:i w:val="0"/>
                <w:color w:val="575b5f"/>
                <w:sz w:val="24"/>
                <w:szCs w:val="24"/>
                <w:vertAlign w:val="superscript"/>
                <w:rtl w:val="0"/>
              </w:rPr>
              <w:t xml:space="preserve">48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Other Key Systems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Gastroesophageal reflux (GERD), hirsutism, congenital heart defects </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Stereotypic hand movements, breathing irregularities, seizures, gait ataxia/apraxia </w:t>
            </w:r>
            <w:r w:rsidDel="00000000" w:rsidR="00000000" w:rsidRPr="00000000">
              <w:rPr>
                <w:rFonts w:ascii="Google Sans Text" w:cs="Google Sans Text" w:eastAsia="Google Sans Text" w:hAnsi="Google Sans Text"/>
                <w:i w:val="0"/>
                <w:color w:val="575b5f"/>
                <w:sz w:val="24"/>
                <w:szCs w:val="24"/>
                <w:vertAlign w:val="superscript"/>
                <w:rtl w:val="0"/>
              </w:rPr>
              <w:t xml:space="preserve">42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Immune dysfunction (hypogammaglobulinemia, autoimmunity), congenital heart defects, feeding difficulties </w:t>
            </w: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p>
        </w:tc>
      </w:tr>
    </w:tbl>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B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3.4. The Principle of Convergent Pathogenesis</w:t>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detailed examination of these paradigmatic syndromes reveals a critical, overarching theme in the field: the principle of convergent pathogenesis.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This concept describes the observation that mutations in different, often functionally unrelated, chromatin-regulating genes can converge to produce overlapping clinical phenotypes. The traditional model of "one gene, one syndrome" is increasingly being replaced by a more complex, network-based understanding.</w:t>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clinical overlap is extensive. For instance, syndromes such as Wiedemann-Steiner syndrome (WDSTS, caused by mutations in the H3K4 methyltransferase </w:t>
      </w:r>
      <w:r w:rsidDel="00000000" w:rsidR="00000000" w:rsidRPr="00000000">
        <w:rPr>
          <w:rFonts w:ascii="Google Sans Text" w:cs="Google Sans Text" w:eastAsia="Google Sans Text" w:hAnsi="Google Sans Text"/>
          <w:i w:val="1"/>
          <w:color w:val="1b1c1d"/>
          <w:sz w:val="24"/>
          <w:szCs w:val="24"/>
          <w:rtl w:val="0"/>
        </w:rPr>
        <w:t xml:space="preserve">KMT2A</w:t>
      </w:r>
      <w:r w:rsidDel="00000000" w:rsidR="00000000" w:rsidRPr="00000000">
        <w:rPr>
          <w:rFonts w:ascii="Google Sans Text" w:cs="Google Sans Text" w:eastAsia="Google Sans Text" w:hAnsi="Google Sans Text"/>
          <w:i w:val="0"/>
          <w:color w:val="1b1c1d"/>
          <w:sz w:val="24"/>
          <w:szCs w:val="24"/>
          <w:rtl w:val="0"/>
        </w:rPr>
        <w:t xml:space="preserve">), Kleefstra syndrome (KLEFS1, caused by mutations in the H3K9 methyltransferase </w:t>
      </w:r>
      <w:r w:rsidDel="00000000" w:rsidR="00000000" w:rsidRPr="00000000">
        <w:rPr>
          <w:rFonts w:ascii="Google Sans Text" w:cs="Google Sans Text" w:eastAsia="Google Sans Text" w:hAnsi="Google Sans Text"/>
          <w:i w:val="1"/>
          <w:color w:val="1b1c1d"/>
          <w:sz w:val="24"/>
          <w:szCs w:val="24"/>
          <w:rtl w:val="0"/>
        </w:rPr>
        <w:t xml:space="preserve">EHMT1</w:t>
      </w:r>
      <w:r w:rsidDel="00000000" w:rsidR="00000000" w:rsidRPr="00000000">
        <w:rPr>
          <w:rFonts w:ascii="Google Sans Text" w:cs="Google Sans Text" w:eastAsia="Google Sans Text" w:hAnsi="Google Sans Text"/>
          <w:i w:val="0"/>
          <w:color w:val="1b1c1d"/>
          <w:sz w:val="24"/>
          <w:szCs w:val="24"/>
          <w:rtl w:val="0"/>
        </w:rPr>
        <w:t xml:space="preserve">), and Coffin-Siris syndrome (CSS1, caused by mutations in the BAF complex remodeler subunit </w:t>
      </w:r>
      <w:r w:rsidDel="00000000" w:rsidR="00000000" w:rsidRPr="00000000">
        <w:rPr>
          <w:rFonts w:ascii="Google Sans Text" w:cs="Google Sans Text" w:eastAsia="Google Sans Text" w:hAnsi="Google Sans Text"/>
          <w:i w:val="1"/>
          <w:color w:val="1b1c1d"/>
          <w:sz w:val="24"/>
          <w:szCs w:val="24"/>
          <w:rtl w:val="0"/>
        </w:rPr>
        <w:t xml:space="preserve">ARID1B</w:t>
      </w:r>
      <w:r w:rsidDel="00000000" w:rsidR="00000000" w:rsidRPr="00000000">
        <w:rPr>
          <w:rFonts w:ascii="Google Sans Text" w:cs="Google Sans Text" w:eastAsia="Google Sans Text" w:hAnsi="Google Sans Text"/>
          <w:i w:val="0"/>
          <w:color w:val="1b1c1d"/>
          <w:sz w:val="24"/>
          <w:szCs w:val="24"/>
          <w:rtl w:val="0"/>
        </w:rPr>
        <w:t xml:space="preserve">) all share a core set of features including intellectual disability, growth dysregulation, and characteristic facial dysmorphisms.</w:t>
      </w:r>
      <w:r w:rsidDel="00000000" w:rsidR="00000000" w:rsidRPr="00000000">
        <w:rPr>
          <w:rFonts w:ascii="Google Sans Text" w:cs="Google Sans Text" w:eastAsia="Google Sans Text" w:hAnsi="Google Sans Text"/>
          <w:i w:val="0"/>
          <w:color w:val="575b5f"/>
          <w:sz w:val="24"/>
          <w:szCs w:val="24"/>
          <w:vertAlign w:val="superscript"/>
          <w:rtl w:val="0"/>
        </w:rPr>
        <w:t xml:space="preserve">51</w:t>
      </w:r>
      <w:r w:rsidDel="00000000" w:rsidR="00000000" w:rsidRPr="00000000">
        <w:rPr>
          <w:rFonts w:ascii="Google Sans Text" w:cs="Google Sans Text" w:eastAsia="Google Sans Text" w:hAnsi="Google Sans Text"/>
          <w:i w:val="0"/>
          <w:color w:val="1b1c1d"/>
          <w:sz w:val="24"/>
          <w:szCs w:val="24"/>
          <w:rtl w:val="0"/>
        </w:rPr>
        <w:t xml:space="preserve"> This occurs despite the causative genes belonging to different functional classes of the epigenetic machinery (a writer, another writer with a different target, and a remodeler, respectively).</w:t>
      </w:r>
    </w:p>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This convergence strongly implies that the diverse components of the epigenetic machinery do not operate in isolation but are part of a highly integrated and interconnected regulatory network. Major protein complexes like the BAF, PRC2, and COMPASS complexes serve as critical hubs within this network.</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r w:rsidDel="00000000" w:rsidR="00000000" w:rsidRPr="00000000">
        <w:rPr>
          <w:rFonts w:ascii="Google Sans Text" w:cs="Google Sans Text" w:eastAsia="Google Sans Text" w:hAnsi="Google Sans Text"/>
          <w:i w:val="0"/>
          <w:color w:val="1b1c1d"/>
          <w:sz w:val="24"/>
          <w:szCs w:val="24"/>
          <w:rtl w:val="0"/>
        </w:rPr>
        <w:t xml:space="preserve"> A disruption at any one of many different nodes can perturb the stability of the entire network, leading to the misregulation of common downstream developmental pathways and cellular processes, which in turn manifests as a shared set of clinical outcomes.</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phenotypic overlap is so profound that it often blurs the boundaries between classically defined syndromes. These disorders are frequently included in the differential diagnosis for one another, and the lines are further obscured by recent genetic findings. For example, individuals with a clinical phenotype suggestive of CdLS have been found to carry mutations in non-cohesin genes such as </w:t>
      </w:r>
      <w:r w:rsidDel="00000000" w:rsidR="00000000" w:rsidRPr="00000000">
        <w:rPr>
          <w:rFonts w:ascii="Google Sans Text" w:cs="Google Sans Text" w:eastAsia="Google Sans Text" w:hAnsi="Google Sans Text"/>
          <w:i w:val="1"/>
          <w:color w:val="1b1c1d"/>
          <w:sz w:val="24"/>
          <w:szCs w:val="24"/>
          <w:rtl w:val="0"/>
        </w:rPr>
        <w:t xml:space="preserve">ANKRD11</w:t>
      </w:r>
      <w:r w:rsidDel="00000000" w:rsidR="00000000" w:rsidRPr="00000000">
        <w:rPr>
          <w:rFonts w:ascii="Google Sans Text" w:cs="Google Sans Text" w:eastAsia="Google Sans Text" w:hAnsi="Google Sans Text"/>
          <w:i w:val="0"/>
          <w:color w:val="1b1c1d"/>
          <w:sz w:val="24"/>
          <w:szCs w:val="24"/>
          <w:rtl w:val="0"/>
        </w:rPr>
        <w:t xml:space="preserve"> (a transcriptional repressor) and </w:t>
      </w:r>
      <w:r w:rsidDel="00000000" w:rsidR="00000000" w:rsidRPr="00000000">
        <w:rPr>
          <w:rFonts w:ascii="Google Sans Text" w:cs="Google Sans Text" w:eastAsia="Google Sans Text" w:hAnsi="Google Sans Text"/>
          <w:i w:val="1"/>
          <w:color w:val="1b1c1d"/>
          <w:sz w:val="24"/>
          <w:szCs w:val="24"/>
          <w:rtl w:val="0"/>
        </w:rPr>
        <w:t xml:space="preserve">BRD4</w:t>
      </w:r>
      <w:r w:rsidDel="00000000" w:rsidR="00000000" w:rsidRPr="00000000">
        <w:rPr>
          <w:rFonts w:ascii="Google Sans Text" w:cs="Google Sans Text" w:eastAsia="Google Sans Text" w:hAnsi="Google Sans Text"/>
          <w:i w:val="0"/>
          <w:color w:val="1b1c1d"/>
          <w:sz w:val="24"/>
          <w:szCs w:val="24"/>
          <w:rtl w:val="0"/>
        </w:rPr>
        <w:t xml:space="preserve"> (an epigenetic reader).</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 Conversely, pathogenic variants in core cohesin genes have been identified in individuals with clinical features more reminiscent of other syndromes, such as Rett-like syndrome or Coffin-Siris syndrome.</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 This bidirectional overlap has given rise to the concept of a "chromatinopathies protein network," where the interconnectedness of the proteins is more fundamental than the classical syndromic definitions.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 This paradigm shift necessitates a move away from a "syndrome-first" diagnostic and research approach towards a more integrated "pathway-first" or "network-first" perspective, where the focus is on understanding the disruption of entire functional modules rather than cataloging individual disease entities.</w:t>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C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IV. The Dual Role of Epigenes: Developmental Disorders and Cancer</w:t>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profound and fundamentally important aspect of chromatin biology is the dual role played by epigenes in both congenital developmental disorders and the pathogenesis of cancer. The same genes that, when carrying a germline mutation, cause multisystemic syndromes like Kabuki or Cornelia de Lange syndrome, are frequently found to be somatically mutated in a wide range of human malignancies. This duality is not a coincidence; it reveals that chromatin regulation lies at the heart of the fundamental cellular processes of differentiation and proliferation, which are precisely controlled during development and pathologically dysregulated in cancer. This section explores this critical link, examining cancer predisposition in chromatinopathy patients, the role of somatic mutations in these genes as cancer drivers, and the related phenomenon of somatic mosaicism in neurodevelopmental disease.</w:t>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C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4.1. Germline Mutations and Cancer Predisposition</w:t>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There is accumulating evidence to suggest that individuals with congenital chromatinopathies may have an increased lifetime risk of developing cancer.</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While systematic, long-term studies are still needed for many of these rare disorders, case reports and cohort studies have identified an association between specific syndromes and malignancy. For example, individuals with Kabuki syndrome, caused by germline mutations in</w:t>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1"/>
          <w:color w:val="1b1c1d"/>
          <w:sz w:val="24"/>
          <w:szCs w:val="24"/>
          <w:rtl w:val="0"/>
        </w:rPr>
        <w:t xml:space="preserve">KMT2D</w:t>
      </w:r>
      <w:r w:rsidDel="00000000" w:rsidR="00000000" w:rsidRPr="00000000">
        <w:rPr>
          <w:rFonts w:ascii="Google Sans Text" w:cs="Google Sans Text" w:eastAsia="Google Sans Text" w:hAnsi="Google Sans Text"/>
          <w:i w:val="0"/>
          <w:color w:val="1b1c1d"/>
          <w:sz w:val="24"/>
          <w:szCs w:val="24"/>
          <w:rtl w:val="0"/>
        </w:rPr>
        <w:t xml:space="preserve"> or </w:t>
      </w:r>
      <w:r w:rsidDel="00000000" w:rsidR="00000000" w:rsidRPr="00000000">
        <w:rPr>
          <w:rFonts w:ascii="Google Sans Text" w:cs="Google Sans Text" w:eastAsia="Google Sans Text" w:hAnsi="Google Sans Text"/>
          <w:i w:val="1"/>
          <w:color w:val="1b1c1d"/>
          <w:sz w:val="24"/>
          <w:szCs w:val="24"/>
          <w:rtl w:val="0"/>
        </w:rPr>
        <w:t xml:space="preserve">KDM6A</w:t>
      </w:r>
      <w:r w:rsidDel="00000000" w:rsidR="00000000" w:rsidRPr="00000000">
        <w:rPr>
          <w:rFonts w:ascii="Google Sans Text" w:cs="Google Sans Text" w:eastAsia="Google Sans Text" w:hAnsi="Google Sans Text"/>
          <w:i w:val="0"/>
          <w:color w:val="1b1c1d"/>
          <w:sz w:val="24"/>
          <w:szCs w:val="24"/>
          <w:rtl w:val="0"/>
        </w:rPr>
        <w:t xml:space="preserve">, have been reported to develop various tumors, including neuroblastoma and hematological malignancies.</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Similarly, genes involved in other chromatinopathies have been linked to cancer predisposition syndromes.</w:t>
      </w:r>
      <w:r w:rsidDel="00000000" w:rsidR="00000000" w:rsidRPr="00000000">
        <w:rPr>
          <w:rFonts w:ascii="Google Sans Text" w:cs="Google Sans Text" w:eastAsia="Google Sans Text" w:hAnsi="Google Sans Text"/>
          <w:i w:val="0"/>
          <w:color w:val="575b5f"/>
          <w:sz w:val="24"/>
          <w:szCs w:val="24"/>
          <w:vertAlign w:val="superscript"/>
          <w:rtl w:val="0"/>
        </w:rPr>
        <w:t xml:space="preserve">53</w:t>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study of these rare hereditary disorders provides a unique and powerful human model for understanding the role of epigenetic dysregulation in the earliest stages of tumorigenesis. In these individuals, a germline "first hit" is present in every cell of the body from conception. This provides a sensitized background upon which additional somatic events can occur, potentially accelerating the path to malignant transformation. Elucidating the mechanisms by which these germline variants contribute to cancer risk can therefore provide fundamental insights into the initial steps of carcinogenesis and the function of these genes as tumor suppressors.</w:t>
      </w:r>
      <w:r w:rsidDel="00000000" w:rsidR="00000000" w:rsidRPr="00000000">
        <w:rPr>
          <w:rFonts w:ascii="Google Sans Text" w:cs="Google Sans Text" w:eastAsia="Google Sans Text" w:hAnsi="Google Sans Text"/>
          <w:i w:val="0"/>
          <w:color w:val="575b5f"/>
          <w:sz w:val="24"/>
          <w:szCs w:val="24"/>
          <w:vertAlign w:val="superscript"/>
          <w:rtl w:val="0"/>
        </w:rPr>
        <w:t xml:space="preserve">53</w:t>
      </w:r>
      <w:r w:rsidDel="00000000" w:rsidR="00000000" w:rsidRPr="00000000">
        <w:rPr>
          <w:rFonts w:ascii="Google Sans Text" w:cs="Google Sans Text" w:eastAsia="Google Sans Text" w:hAnsi="Google Sans Text"/>
          <w:i w:val="0"/>
          <w:color w:val="1b1c1d"/>
          <w:sz w:val="24"/>
          <w:szCs w:val="24"/>
          <w:rtl w:val="0"/>
        </w:rPr>
        <w:t xml:space="preserve"> This creates a crucial bridge between the fields of rare disease genetics and oncology, where insights from one can directly inform the other.</w:t>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C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4.2. Somatic Mutations in Chromatin Regulators as Drivers of Oncogenesis</w:t>
      </w:r>
    </w:p>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advent of large-scale cancer genome sequencing has unequivocally demonstrated that the epigenetic machinery is a major target of somatic mutation in cancer. Genes encoding chromatin regulatory factors (CRFs) are among the most frequently mutated classes of genes across nearly all types of human cancer.</w:t>
      </w:r>
      <w:r w:rsidDel="00000000" w:rsidR="00000000" w:rsidRPr="00000000">
        <w:rPr>
          <w:rFonts w:ascii="Google Sans Text" w:cs="Google Sans Text" w:eastAsia="Google Sans Text" w:hAnsi="Google Sans Text"/>
          <w:i w:val="0"/>
          <w:color w:val="575b5f"/>
          <w:sz w:val="24"/>
          <w:szCs w:val="24"/>
          <w:vertAlign w:val="superscript"/>
          <w:rtl w:val="0"/>
        </w:rPr>
        <w:t xml:space="preserve">54</w:t>
      </w:r>
      <w:r w:rsidDel="00000000" w:rsidR="00000000" w:rsidRPr="00000000">
        <w:rPr>
          <w:rFonts w:ascii="Google Sans Text" w:cs="Google Sans Text" w:eastAsia="Google Sans Text" w:hAnsi="Google Sans Text"/>
          <w:i w:val="0"/>
          <w:color w:val="1b1c1d"/>
          <w:sz w:val="24"/>
          <w:szCs w:val="24"/>
          <w:rtl w:val="0"/>
        </w:rPr>
        <w:t xml:space="preserve"> Many of the same genes implicated in congenital chromatinopathies—such as</w:t>
      </w:r>
    </w:p>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KMT2D</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ARID1A</w:t>
      </w:r>
      <w:r w:rsidDel="00000000" w:rsidR="00000000" w:rsidRPr="00000000">
        <w:rPr>
          <w:rFonts w:ascii="Google Sans Text" w:cs="Google Sans Text" w:eastAsia="Google Sans Text" w:hAnsi="Google Sans Text"/>
          <w:i w:val="0"/>
          <w:color w:val="1b1c1d"/>
          <w:sz w:val="24"/>
          <w:szCs w:val="24"/>
          <w:rtl w:val="0"/>
        </w:rPr>
        <w:t xml:space="preserve"> (a BAF complex subunit), </w:t>
      </w:r>
      <w:r w:rsidDel="00000000" w:rsidR="00000000" w:rsidRPr="00000000">
        <w:rPr>
          <w:rFonts w:ascii="Google Sans Text" w:cs="Google Sans Text" w:eastAsia="Google Sans Text" w:hAnsi="Google Sans Text"/>
          <w:i w:val="1"/>
          <w:color w:val="1b1c1d"/>
          <w:sz w:val="24"/>
          <w:szCs w:val="24"/>
          <w:rtl w:val="0"/>
        </w:rPr>
        <w:t xml:space="preserve">CREBBP</w:t>
      </w:r>
      <w:r w:rsidDel="00000000" w:rsidR="00000000" w:rsidRPr="00000000">
        <w:rPr>
          <w:rFonts w:ascii="Google Sans Text" w:cs="Google Sans Text" w:eastAsia="Google Sans Text" w:hAnsi="Google Sans Text"/>
          <w:i w:val="0"/>
          <w:color w:val="1b1c1d"/>
          <w:sz w:val="24"/>
          <w:szCs w:val="24"/>
          <w:rtl w:val="0"/>
        </w:rPr>
        <w:t xml:space="preserve">, and </w:t>
      </w:r>
      <w:r w:rsidDel="00000000" w:rsidR="00000000" w:rsidRPr="00000000">
        <w:rPr>
          <w:rFonts w:ascii="Google Sans Text" w:cs="Google Sans Text" w:eastAsia="Google Sans Text" w:hAnsi="Google Sans Text"/>
          <w:i w:val="1"/>
          <w:color w:val="1b1c1d"/>
          <w:sz w:val="24"/>
          <w:szCs w:val="24"/>
          <w:rtl w:val="0"/>
        </w:rPr>
        <w:t xml:space="preserve">PBRM1</w:t>
      </w:r>
      <w:r w:rsidDel="00000000" w:rsidR="00000000" w:rsidRPr="00000000">
        <w:rPr>
          <w:rFonts w:ascii="Google Sans Text" w:cs="Google Sans Text" w:eastAsia="Google Sans Text" w:hAnsi="Google Sans Text"/>
          <w:i w:val="0"/>
          <w:color w:val="1b1c1d"/>
          <w:sz w:val="24"/>
          <w:szCs w:val="24"/>
          <w:rtl w:val="0"/>
        </w:rPr>
        <w:t xml:space="preserve"> (another BAF complex subunit)—are recurrently mutated in cancers like lymphoma, bladder cancer, and renal cell carcinoma.</w:t>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These somatic mutations are not merely passenger events; they are often key driver mutations that confer a selective advantage to the cancer cell. A common mechanism is the disruption of cellular differentiation programs. By inactivating a key chromatin regulator, a somatic mutation can lock a cell in an abnormal epigenetic state that promotes perpetual self-renewal and blocks the cell from undergoing terminal differentiation, a classic hallmark of cancer.</w:t>
      </w:r>
      <w:r w:rsidDel="00000000" w:rsidR="00000000" w:rsidRPr="00000000">
        <w:rPr>
          <w:rFonts w:ascii="Google Sans Text" w:cs="Google Sans Text" w:eastAsia="Google Sans Text" w:hAnsi="Google Sans Text"/>
          <w:i w:val="0"/>
          <w:color w:val="575b5f"/>
          <w:sz w:val="24"/>
          <w:szCs w:val="24"/>
          <w:vertAlign w:val="superscript"/>
          <w:rtl w:val="0"/>
        </w:rPr>
        <w:t xml:space="preserve">54</w:t>
      </w:r>
      <w:r w:rsidDel="00000000" w:rsidR="00000000" w:rsidRPr="00000000">
        <w:rPr>
          <w:rFonts w:ascii="Google Sans Text" w:cs="Google Sans Text" w:eastAsia="Google Sans Text" w:hAnsi="Google Sans Text"/>
          <w:i w:val="0"/>
          <w:color w:val="1b1c1d"/>
          <w:sz w:val="24"/>
          <w:szCs w:val="24"/>
          <w:rtl w:val="0"/>
        </w:rPr>
        <w:t xml:space="preserve"> The downstream consequences of these mutations are pleiotropic and contribute to multiple hallmarks of cancer, including altered cellular metabolism, evasion of the immune system, and the promotion of genomic instability.</w:t>
      </w:r>
      <w:r w:rsidDel="00000000" w:rsidR="00000000" w:rsidRPr="00000000">
        <w:rPr>
          <w:rFonts w:ascii="Google Sans Text" w:cs="Google Sans Text" w:eastAsia="Google Sans Text" w:hAnsi="Google Sans Text"/>
          <w:i w:val="0"/>
          <w:color w:val="575b5f"/>
          <w:sz w:val="24"/>
          <w:szCs w:val="24"/>
          <w:vertAlign w:val="superscript"/>
          <w:rtl w:val="0"/>
        </w:rPr>
        <w:t xml:space="preserve">55</w:t>
      </w:r>
      <w:r w:rsidDel="00000000" w:rsidR="00000000" w:rsidRPr="00000000">
        <w:rPr>
          <w:rFonts w:ascii="Google Sans Text" w:cs="Google Sans Text" w:eastAsia="Google Sans Text" w:hAnsi="Google Sans Text"/>
          <w:i w:val="0"/>
          <w:color w:val="1b1c1d"/>
          <w:sz w:val="24"/>
          <w:szCs w:val="24"/>
          <w:rtl w:val="0"/>
        </w:rPr>
        <w:t xml:space="preserve"> For instance, alterations in chromatin remodelers can change the three-dimensional folding of the genome, which in turn can influence the regional mutation rate and the distribution of subsequent somatic hits.</w:t>
      </w:r>
      <w:r w:rsidDel="00000000" w:rsidR="00000000" w:rsidRPr="00000000">
        <w:rPr>
          <w:rFonts w:ascii="Google Sans Text" w:cs="Google Sans Text" w:eastAsia="Google Sans Text" w:hAnsi="Google Sans Text"/>
          <w:i w:val="0"/>
          <w:color w:val="575b5f"/>
          <w:sz w:val="24"/>
          <w:szCs w:val="24"/>
          <w:vertAlign w:val="superscript"/>
          <w:rtl w:val="0"/>
        </w:rPr>
        <w:t xml:space="preserve">59</w:t>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particularly potent mechanism of epigenetic disruption in cancer involves direct, recurrent mutations in the histone-encoding genes themselves. These so-called "oncohistones" represent a distinct class of cancer driver. Prime examples include the lysine-to-methionine substitution at position 27 of histone H3 (H3K27M), which defines a highly aggressive form of pediatric brain cancer called diffuse midline glioma, and the glycine-to-arginine/valine substitution at position 34 (H3G34R/V) found in a subset of pediatric glioblastomas.</w:t>
      </w:r>
      <w:r w:rsidDel="00000000" w:rsidR="00000000" w:rsidRPr="00000000">
        <w:rPr>
          <w:rFonts w:ascii="Google Sans Text" w:cs="Google Sans Text" w:eastAsia="Google Sans Text" w:hAnsi="Google Sans Text"/>
          <w:i w:val="0"/>
          <w:color w:val="575b5f"/>
          <w:sz w:val="24"/>
          <w:szCs w:val="24"/>
          <w:vertAlign w:val="superscript"/>
          <w:rtl w:val="0"/>
        </w:rPr>
        <w:t xml:space="preserve">60</w:t>
      </w:r>
      <w:r w:rsidDel="00000000" w:rsidR="00000000" w:rsidRPr="00000000">
        <w:rPr>
          <w:rFonts w:ascii="Google Sans Text" w:cs="Google Sans Text" w:eastAsia="Google Sans Text" w:hAnsi="Google Sans Text"/>
          <w:i w:val="0"/>
          <w:color w:val="1b1c1d"/>
          <w:sz w:val="24"/>
          <w:szCs w:val="24"/>
          <w:rtl w:val="0"/>
        </w:rPr>
        <w:t xml:space="preserve"> These mutant histones are incorporated into chromatin and act in a dominant-negative fashion. For example, the H3K27M mutant protein directly binds to and inhibits the enzymatic activity of the PRC2 complex's writer subunit, EZH2. This leads to a global, genome-wide reduction in the repressive H3K27me3 mark, causing widespread epigenetic reprogramming, aberrant gene expression, and aggressive oncogenesis.</w:t>
      </w:r>
      <w:r w:rsidDel="00000000" w:rsidR="00000000" w:rsidRPr="00000000">
        <w:rPr>
          <w:rFonts w:ascii="Google Sans Text" w:cs="Google Sans Text" w:eastAsia="Google Sans Text" w:hAnsi="Google Sans Text"/>
          <w:i w:val="0"/>
          <w:color w:val="575b5f"/>
          <w:sz w:val="24"/>
          <w:szCs w:val="24"/>
          <w:vertAlign w:val="superscript"/>
          <w:rtl w:val="0"/>
        </w:rPr>
        <w:t xml:space="preserve">61</w:t>
      </w:r>
      <w:r w:rsidDel="00000000" w:rsidR="00000000" w:rsidRPr="00000000">
        <w:rPr>
          <w:rFonts w:ascii="Google Sans Text" w:cs="Google Sans Text" w:eastAsia="Google Sans Text" w:hAnsi="Google Sans Text"/>
          <w:i w:val="0"/>
          <w:color w:val="1b1c1d"/>
          <w:sz w:val="24"/>
          <w:szCs w:val="24"/>
          <w:rtl w:val="0"/>
        </w:rPr>
        <w:t xml:space="preserve"> The discovery of oncohistones provides one of the most direct links between chromatin structure and cancer.</w:t>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convergence of these findings establishes that chromatin regulation is a fundamental tumor suppressor pathway. Normal development and cancer can be viewed as two sides of the same coin, both revolving around the control of cell fate and proliferation. The pathways that meticulously guide cell fate decisions during embryogenesis are the very same pathways that are hijacked by somatic mutations to drive malignant transformation later in life. This conceptual link is powerful, suggesting that therapies developed to target the epigenetic machinery in cancer, such as HDAC inhibitors or EZH2 inhibitors, may hold potential for being repurposed to treat the underlying molecular defects in congenital chromatinopathies.</w:t>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D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4.3. Somatic Mosaicism in Neurodevelopmental Disorders</w:t>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genetic landscape of developmental disorders is further complicated by the phenomenon of somatic mosaicism. Not all disease-causing mutations are inherited or occur in the germline; a significant proportion arise </w:t>
      </w:r>
      <w:r w:rsidDel="00000000" w:rsidR="00000000" w:rsidRPr="00000000">
        <w:rPr>
          <w:rFonts w:ascii="Google Sans Text" w:cs="Google Sans Text" w:eastAsia="Google Sans Text" w:hAnsi="Google Sans Text"/>
          <w:i w:val="1"/>
          <w:color w:val="1b1c1d"/>
          <w:sz w:val="24"/>
          <w:szCs w:val="24"/>
          <w:rtl w:val="0"/>
        </w:rPr>
        <w:t xml:space="preserve">de novo</w:t>
      </w:r>
      <w:r w:rsidDel="00000000" w:rsidR="00000000" w:rsidRPr="00000000">
        <w:rPr>
          <w:rFonts w:ascii="Google Sans Text" w:cs="Google Sans Text" w:eastAsia="Google Sans Text" w:hAnsi="Google Sans Text"/>
          <w:i w:val="0"/>
          <w:color w:val="1b1c1d"/>
          <w:sz w:val="24"/>
          <w:szCs w:val="24"/>
          <w:rtl w:val="0"/>
        </w:rPr>
        <w:t xml:space="preserve"> in a single cell after fertilization (post-zygotically) and are thus present in only a subset of the cells of an individual.</w:t>
      </w:r>
      <w:r w:rsidDel="00000000" w:rsidR="00000000" w:rsidRPr="00000000">
        <w:rPr>
          <w:rFonts w:ascii="Google Sans Text" w:cs="Google Sans Text" w:eastAsia="Google Sans Text" w:hAnsi="Google Sans Text"/>
          <w:i w:val="0"/>
          <w:color w:val="575b5f"/>
          <w:sz w:val="24"/>
          <w:szCs w:val="24"/>
          <w:vertAlign w:val="superscript"/>
          <w:rtl w:val="0"/>
        </w:rPr>
        <w:t xml:space="preserve">62</w:t>
      </w:r>
    </w:p>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clinical consequences of a somatic mutation are highly dependent on two factors: the developmental timing of the mutational event and the cell lineage in which it occurs.</w:t>
      </w:r>
      <w:r w:rsidDel="00000000" w:rsidR="00000000" w:rsidRPr="00000000">
        <w:rPr>
          <w:rFonts w:ascii="Google Sans Text" w:cs="Google Sans Text" w:eastAsia="Google Sans Text" w:hAnsi="Google Sans Text"/>
          <w:i w:val="0"/>
          <w:color w:val="575b5f"/>
          <w:sz w:val="24"/>
          <w:szCs w:val="24"/>
          <w:vertAlign w:val="superscript"/>
          <w:rtl w:val="0"/>
        </w:rPr>
        <w:t xml:space="preserve">62</w:t>
      </w:r>
      <w:r w:rsidDel="00000000" w:rsidR="00000000" w:rsidRPr="00000000">
        <w:rPr>
          <w:rFonts w:ascii="Google Sans Text" w:cs="Google Sans Text" w:eastAsia="Google Sans Text" w:hAnsi="Google Sans Text"/>
          <w:i w:val="0"/>
          <w:color w:val="1b1c1d"/>
          <w:sz w:val="24"/>
          <w:szCs w:val="24"/>
          <w:rtl w:val="0"/>
        </w:rPr>
        <w:t xml:space="preserve"> A mutation that arises very early in embryogenesis, in one of the first few blastomeres, may be present in a high fraction of cells throughout the body, resulting in a phenotype that is nearly indistinguishable from a germline disorder. In contrast, a mutation that occurs later, in a progenitor cell committed to a specific tissue lineage, may be confined to a single organ, such as the brain.</w:t>
      </w:r>
      <w:r w:rsidDel="00000000" w:rsidR="00000000" w:rsidRPr="00000000">
        <w:rPr>
          <w:rFonts w:ascii="Google Sans Text" w:cs="Google Sans Text" w:eastAsia="Google Sans Text" w:hAnsi="Google Sans Text"/>
          <w:i w:val="0"/>
          <w:color w:val="575b5f"/>
          <w:sz w:val="24"/>
          <w:szCs w:val="24"/>
          <w:vertAlign w:val="superscript"/>
          <w:rtl w:val="0"/>
        </w:rPr>
        <w:t xml:space="preserve">62</w:t>
      </w:r>
    </w:p>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Somatic mosaicism is now recognized as an important cause of a wide range of neurodevelopmental disorders. It has been clearly implicated in brain overgrowth disorders (hemimegalencephaly) and focal cortical dysplasias, where activating mutations in the mTOR pathway are found only in the affected brain tissue.</w:t>
      </w:r>
      <w:r w:rsidDel="00000000" w:rsidR="00000000" w:rsidRPr="00000000">
        <w:rPr>
          <w:rFonts w:ascii="Google Sans Text" w:cs="Google Sans Text" w:eastAsia="Google Sans Text" w:hAnsi="Google Sans Text"/>
          <w:i w:val="0"/>
          <w:color w:val="575b5f"/>
          <w:sz w:val="24"/>
          <w:szCs w:val="24"/>
          <w:vertAlign w:val="superscript"/>
          <w:rtl w:val="0"/>
        </w:rPr>
        <w:t xml:space="preserve">62</w:t>
      </w:r>
      <w:r w:rsidDel="00000000" w:rsidR="00000000" w:rsidRPr="00000000">
        <w:rPr>
          <w:rFonts w:ascii="Google Sans Text" w:cs="Google Sans Text" w:eastAsia="Google Sans Text" w:hAnsi="Google Sans Text"/>
          <w:i w:val="0"/>
          <w:color w:val="1b1c1d"/>
          <w:sz w:val="24"/>
          <w:szCs w:val="24"/>
          <w:rtl w:val="0"/>
        </w:rPr>
        <w:t xml:space="preserve"> It is also an established cause of severe, non-lesional epileptic encephalopathies.</w:t>
      </w:r>
      <w:r w:rsidDel="00000000" w:rsidR="00000000" w:rsidRPr="00000000">
        <w:rPr>
          <w:rFonts w:ascii="Google Sans Text" w:cs="Google Sans Text" w:eastAsia="Google Sans Text" w:hAnsi="Google Sans Text"/>
          <w:i w:val="0"/>
          <w:color w:val="575b5f"/>
          <w:sz w:val="24"/>
          <w:szCs w:val="24"/>
          <w:vertAlign w:val="superscript"/>
          <w:rtl w:val="0"/>
        </w:rPr>
        <w:t xml:space="preserve">62</w:t>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Crucially, somatic mosaicism has been specifically identified in the context of chromatinopathies. Mosaic pathogenic variants in cohesinopathy genes, including </w:t>
      </w:r>
      <w:r w:rsidDel="00000000" w:rsidR="00000000" w:rsidRPr="00000000">
        <w:rPr>
          <w:rFonts w:ascii="Google Sans Text" w:cs="Google Sans Text" w:eastAsia="Google Sans Text" w:hAnsi="Google Sans Text"/>
          <w:i w:val="1"/>
          <w:color w:val="1b1c1d"/>
          <w:sz w:val="24"/>
          <w:szCs w:val="24"/>
          <w:rtl w:val="0"/>
        </w:rPr>
        <w:t xml:space="preserve">NIPBL</w:t>
      </w:r>
      <w:r w:rsidDel="00000000" w:rsidR="00000000" w:rsidRPr="00000000">
        <w:rPr>
          <w:rFonts w:ascii="Google Sans Text" w:cs="Google Sans Text" w:eastAsia="Google Sans Text" w:hAnsi="Google Sans Text"/>
          <w:i w:val="0"/>
          <w:color w:val="1b1c1d"/>
          <w:sz w:val="24"/>
          <w:szCs w:val="24"/>
          <w:rtl w:val="0"/>
        </w:rPr>
        <w:t xml:space="preserve"> and </w:t>
      </w:r>
      <w:r w:rsidDel="00000000" w:rsidR="00000000" w:rsidRPr="00000000">
        <w:rPr>
          <w:rFonts w:ascii="Google Sans Text" w:cs="Google Sans Text" w:eastAsia="Google Sans Text" w:hAnsi="Google Sans Text"/>
          <w:i w:val="1"/>
          <w:color w:val="1b1c1d"/>
          <w:sz w:val="24"/>
          <w:szCs w:val="24"/>
          <w:rtl w:val="0"/>
        </w:rPr>
        <w:t xml:space="preserve">STAG2</w:t>
      </w:r>
      <w:r w:rsidDel="00000000" w:rsidR="00000000" w:rsidRPr="00000000">
        <w:rPr>
          <w:rFonts w:ascii="Google Sans Text" w:cs="Google Sans Text" w:eastAsia="Google Sans Text" w:hAnsi="Google Sans Text"/>
          <w:i w:val="0"/>
          <w:color w:val="1b1c1d"/>
          <w:sz w:val="24"/>
          <w:szCs w:val="24"/>
          <w:rtl w:val="0"/>
        </w:rPr>
        <w:t xml:space="preserve">, have been described in individuals with features of CdLS or related syndromes. In some cases, the mosaic nature of the mutation can explain atypical or asymmetric clinical presentations, such as hemihypotrophy (undergrowth of one side of the body) in an individual with a mosaic </w:t>
      </w:r>
      <w:r w:rsidDel="00000000" w:rsidR="00000000" w:rsidRPr="00000000">
        <w:rPr>
          <w:rFonts w:ascii="Google Sans Text" w:cs="Google Sans Text" w:eastAsia="Google Sans Text" w:hAnsi="Google Sans Text"/>
          <w:i w:val="1"/>
          <w:color w:val="1b1c1d"/>
          <w:sz w:val="24"/>
          <w:szCs w:val="24"/>
          <w:rtl w:val="0"/>
        </w:rPr>
        <w:t xml:space="preserve">STAG2</w:t>
      </w:r>
      <w:r w:rsidDel="00000000" w:rsidR="00000000" w:rsidRPr="00000000">
        <w:rPr>
          <w:rFonts w:ascii="Google Sans Text" w:cs="Google Sans Text" w:eastAsia="Google Sans Text" w:hAnsi="Google Sans Text"/>
          <w:i w:val="0"/>
          <w:color w:val="1b1c1d"/>
          <w:sz w:val="24"/>
          <w:szCs w:val="24"/>
          <w:rtl w:val="0"/>
        </w:rPr>
        <w:t xml:space="preserve"> variant.</w:t>
      </w:r>
      <w:r w:rsidDel="00000000" w:rsidR="00000000" w:rsidRPr="00000000">
        <w:rPr>
          <w:rFonts w:ascii="Google Sans Text" w:cs="Google Sans Text" w:eastAsia="Google Sans Text" w:hAnsi="Google Sans Text"/>
          <w:i w:val="0"/>
          <w:color w:val="575b5f"/>
          <w:sz w:val="24"/>
          <w:szCs w:val="24"/>
          <w:vertAlign w:val="superscript"/>
          <w:rtl w:val="0"/>
        </w:rPr>
        <w:t xml:space="preserve">65</w:t>
      </w:r>
      <w:r w:rsidDel="00000000" w:rsidR="00000000" w:rsidRPr="00000000">
        <w:rPr>
          <w:rFonts w:ascii="Google Sans Text" w:cs="Google Sans Text" w:eastAsia="Google Sans Text" w:hAnsi="Google Sans Text"/>
          <w:i w:val="0"/>
          <w:color w:val="1b1c1d"/>
          <w:sz w:val="24"/>
          <w:szCs w:val="24"/>
          <w:rtl w:val="0"/>
        </w:rPr>
        <w:t xml:space="preserve"> This phenomenon poses a significant diagnostic challenge. The causative mutation may be present at a very low level, or may be entirely absent, in easily accessible tissues like peripheral blood. This can lead to a false-negative result from standard genetic testing, requiring analysis of other tissues (e.g., skin fibroblasts, buccal cells) or the use of ultra-deep sequencing technologies to detect the low-fraction variant.</w:t>
      </w:r>
      <w:r w:rsidDel="00000000" w:rsidR="00000000" w:rsidRPr="00000000">
        <w:rPr>
          <w:rFonts w:ascii="Google Sans Text" w:cs="Google Sans Text" w:eastAsia="Google Sans Text" w:hAnsi="Google Sans Text"/>
          <w:i w:val="0"/>
          <w:color w:val="575b5f"/>
          <w:sz w:val="24"/>
          <w:szCs w:val="24"/>
          <w:vertAlign w:val="superscript"/>
          <w:rtl w:val="0"/>
        </w:rPr>
        <w:t xml:space="preserve">62</w:t>
      </w:r>
      <w:r w:rsidDel="00000000" w:rsidR="00000000" w:rsidRPr="00000000">
        <w:rPr>
          <w:rFonts w:ascii="Google Sans Text" w:cs="Google Sans Text" w:eastAsia="Google Sans Text" w:hAnsi="Google Sans Text"/>
          <w:i w:val="0"/>
          <w:color w:val="1b1c1d"/>
          <w:sz w:val="24"/>
          <w:szCs w:val="24"/>
          <w:rtl w:val="0"/>
        </w:rPr>
        <w:t xml:space="preserve"> The recognition of somatic mosaicism adds another layer of complexity to the diagnosis and genetic counseling of chromatinopathies.</w:t>
      </w:r>
    </w:p>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DD">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V. The Diagnostic Revolution: From Phenotype to Episignature</w:t>
      </w:r>
    </w:p>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journey to an accurate diagnosis for an individual with a rare disorder has historically been a long and arduous process, often termed a "diagnostic odyssey." For chromatinopathies, characterized by their clinical variability and extensive phenotypic overlap, this journey has been particularly challenging. However, the field is currently in the midst of a diagnostic revolution, driven by the integration of high-throughput genomics and the discovery of novel, functional biomarkers that are transforming the diagnostic landscape.</w:t>
      </w:r>
    </w:p>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E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5.1. The Diagnostic Odyssey: Clinical and Genomic Approaches</w:t>
      </w:r>
    </w:p>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For decades, the diagnosis of chromatinopathies relied almost exclusively on clinical acumen—the ability of a skilled dysmorphologist or clinical geneticist to recognize a specific constellation of physical features and developmental patterns.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This approach is inherently subjective and faces significant limitations. The clinical features of many syndromes evolve over time; for example, the characteristic facial gestalt of Kabuki syndrome may not become apparent until several years into childhood, delaying diagnosis.</w:t>
      </w: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r w:rsidDel="00000000" w:rsidR="00000000" w:rsidRPr="00000000">
        <w:rPr>
          <w:rFonts w:ascii="Google Sans Text" w:cs="Google Sans Text" w:eastAsia="Google Sans Text" w:hAnsi="Google Sans Text"/>
          <w:i w:val="0"/>
          <w:color w:val="1b1c1d"/>
          <w:sz w:val="24"/>
          <w:szCs w:val="24"/>
          <w:rtl w:val="0"/>
        </w:rPr>
        <w:t xml:space="preserve"> Furthermore, the high degree of phenotypic overlap means that even experienced clinicians can struggle to differentiate between similar-looking syndromes. To bring more objectivity to the process, standardized clinical scoring systems were developed for some of the more well-defined disorders, such as the international consensus criteria for Cornelia de Lange Syndrome, which help to quantify the clinical suspicion.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p>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paradigm shifted dramatically with the clinical implementation of Next-Generation Sequencing (NGS). WES and WGS enabled a hypothesis-free approach, allowing for the simultaneous interrogation of thousands of genes and leading to a massive increase in diagnostic yield.</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technology has been responsible for the discovery of the vast majority of known chromatinopathy-causing genes and has been instrumental in expanding the phenotypic spectrum associated with previously known genes.</w:t>
      </w:r>
    </w:p>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Despite its power, NGS introduced a new and significant challenge: the problem of Variants of Uncertain Significance (VUS). In a substantial number of cases, sequencing identifies a genetic variant in a plausible candidate gene, but there is insufficient evidence to definitively classify it as either benign or pathogenic.</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This ambiguity leaves families and clinicians in a state of diagnostic uncertainty, unable to confirm a diagnosis or provide accurate prognostic and recurrence risk information. Overcoming the VUS challenge has become one of the most pressing needs in modern clinical genetics.</w:t>
      </w:r>
    </w:p>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E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5.2. DNA Methylation Episignatures: A Functional Biomarker</w:t>
      </w:r>
    </w:p>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groundbreaking advance that directly addresses the VUS problem has been the discovery and clinical application of DNA methylation "episignatures." This approach is built on the observation that many chromatinopathies, particularly those caused by pathogenic variants in genes encoding histone modifiers and DNA methyltransferases, result in a unique, stable, and reproducible genome-wide pattern of DNA methylation that can be detected in peripheral blood.</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episignature serves as a downstream functional biomarker—a molecular "scar" left by the primary genetic defect.</w:t>
      </w:r>
    </w:p>
    <w:p w:rsidR="00000000" w:rsidDel="00000000" w:rsidP="00000000" w:rsidRDefault="00000000" w:rsidRPr="00000000" w14:paraId="000000EA">
      <w:pPr>
        <w:numPr>
          <w:ilvl w:val="0"/>
          <w:numId w:val="1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Technology and Principle</w:t>
      </w:r>
      <w:r w:rsidDel="00000000" w:rsidR="00000000" w:rsidRPr="00000000">
        <w:rPr>
          <w:rFonts w:ascii="Google Sans Text" w:cs="Google Sans Text" w:eastAsia="Google Sans Text" w:hAnsi="Google Sans Text"/>
          <w:i w:val="0"/>
          <w:color w:val="1b1c1d"/>
          <w:sz w:val="24"/>
          <w:szCs w:val="24"/>
          <w:rtl w:val="0"/>
        </w:rPr>
        <w:t xml:space="preserve">: The primary clinical tool for this analysis is the EpiSign™ assay. This test uses a high-density microarray platform (e.g., the Illumina Infinium MethylationEPIC array) to measure the methylation status at approximately 935,000 specific CpG sites across the genome.</w:t>
      </w:r>
      <w:r w:rsidDel="00000000" w:rsidR="00000000" w:rsidRPr="00000000">
        <w:rPr>
          <w:rFonts w:ascii="Google Sans Text" w:cs="Google Sans Text" w:eastAsia="Google Sans Text" w:hAnsi="Google Sans Text"/>
          <w:i w:val="0"/>
          <w:color w:val="575b5f"/>
          <w:sz w:val="24"/>
          <w:szCs w:val="24"/>
          <w:vertAlign w:val="superscript"/>
          <w:rtl w:val="0"/>
        </w:rPr>
        <w:t xml:space="preserve">66</w:t>
      </w:r>
      <w:r w:rsidDel="00000000" w:rsidR="00000000" w:rsidRPr="00000000">
        <w:rPr>
          <w:rFonts w:ascii="Google Sans Text" w:cs="Google Sans Text" w:eastAsia="Google Sans Text" w:hAnsi="Google Sans Text"/>
          <w:i w:val="0"/>
          <w:color w:val="1b1c1d"/>
          <w:sz w:val="24"/>
          <w:szCs w:val="24"/>
          <w:rtl w:val="0"/>
        </w:rPr>
        <w:t xml:space="preserve"> The resulting data from a patient sample is then analyzed using a sophisticated bioinformatics pipeline. A machine-learning-based classifier compares the patient's methylation profile to a large, curated reference database, known as the EpiSign Knowledge Database, which contains the established episignatures for dozens of different Mendelian disorders.</w:t>
      </w:r>
      <w:r w:rsidDel="00000000" w:rsidR="00000000" w:rsidRPr="00000000">
        <w:rPr>
          <w:rFonts w:ascii="Google Sans Text" w:cs="Google Sans Text" w:eastAsia="Google Sans Text" w:hAnsi="Google Sans Text"/>
          <w:i w:val="0"/>
          <w:color w:val="575b5f"/>
          <w:sz w:val="24"/>
          <w:szCs w:val="24"/>
          <w:vertAlign w:val="superscript"/>
          <w:rtl w:val="0"/>
        </w:rPr>
        <w:t xml:space="preserve">66</w:t>
      </w:r>
      <w:r w:rsidDel="00000000" w:rsidR="00000000" w:rsidRPr="00000000">
        <w:rPr>
          <w:rFonts w:ascii="Google Sans Text" w:cs="Google Sans Text" w:eastAsia="Google Sans Text" w:hAnsi="Google Sans Text"/>
          <w:i w:val="0"/>
          <w:color w:val="1b1c1d"/>
          <w:sz w:val="24"/>
          <w:szCs w:val="24"/>
          <w:rtl w:val="0"/>
        </w:rPr>
        <w:t xml:space="preserve"> A positive match indicates that the patient's epigenetic profile is consistent with a specific disorder.</w:t>
      </w:r>
    </w:p>
    <w:p w:rsidR="00000000" w:rsidDel="00000000" w:rsidP="00000000" w:rsidRDefault="00000000" w:rsidRPr="00000000" w14:paraId="000000EB">
      <w:pPr>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Clinical Utility</w:t>
      </w:r>
      <w:r w:rsidDel="00000000" w:rsidR="00000000" w:rsidRPr="00000000">
        <w:rPr>
          <w:rFonts w:ascii="Google Sans Text" w:cs="Google Sans Text" w:eastAsia="Google Sans Text" w:hAnsi="Google Sans Text"/>
          <w:i w:val="0"/>
          <w:color w:val="1b1c1d"/>
          <w:sz w:val="24"/>
          <w:szCs w:val="24"/>
          <w:rtl w:val="0"/>
        </w:rPr>
        <w:t xml:space="preserve">: The clinical applications of episignature analysis are profound and are reshaping the diagnostic workflow for chromatinopathies.</w:t>
      </w:r>
    </w:p>
    <w:p w:rsidR="00000000" w:rsidDel="00000000" w:rsidP="00000000" w:rsidRDefault="00000000" w:rsidRPr="00000000" w14:paraId="000000EC">
      <w:pPr>
        <w:numPr>
          <w:ilvl w:val="1"/>
          <w:numId w:val="15"/>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VUS Classification</w:t>
      </w:r>
      <w:r w:rsidDel="00000000" w:rsidR="00000000" w:rsidRPr="00000000">
        <w:rPr>
          <w:rFonts w:ascii="Google Sans Text" w:cs="Google Sans Text" w:eastAsia="Google Sans Text" w:hAnsi="Google Sans Text"/>
          <w:i w:val="0"/>
          <w:color w:val="1b1c1d"/>
          <w:sz w:val="24"/>
          <w:szCs w:val="24"/>
          <w:rtl w:val="0"/>
        </w:rPr>
        <w:t xml:space="preserve">: This is arguably the most powerful application. Consider a patient with developmental delay and a VUS in the </w:t>
      </w:r>
      <w:r w:rsidDel="00000000" w:rsidR="00000000" w:rsidRPr="00000000">
        <w:rPr>
          <w:rFonts w:ascii="Google Sans Text" w:cs="Google Sans Text" w:eastAsia="Google Sans Text" w:hAnsi="Google Sans Text"/>
          <w:i w:val="1"/>
          <w:color w:val="1b1c1d"/>
          <w:sz w:val="24"/>
          <w:szCs w:val="24"/>
          <w:rtl w:val="0"/>
        </w:rPr>
        <w:t xml:space="preserve">KDM6A</w:t>
      </w:r>
      <w:r w:rsidDel="00000000" w:rsidR="00000000" w:rsidRPr="00000000">
        <w:rPr>
          <w:rFonts w:ascii="Google Sans Text" w:cs="Google Sans Text" w:eastAsia="Google Sans Text" w:hAnsi="Google Sans Text"/>
          <w:i w:val="0"/>
          <w:color w:val="1b1c1d"/>
          <w:sz w:val="24"/>
          <w:szCs w:val="24"/>
          <w:rtl w:val="0"/>
        </w:rPr>
        <w:t xml:space="preserve"> gene. If this patient's blood sample yields a clear and strong match to the known Kabuki syndrome episignature, it provides strong functional evidence that the VUS is indeed pathogenic, allowing it to be reclassified as "likely pathogenic" and confirming the diagnosis.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This provides diagnostic closure for the family.</w:t>
      </w:r>
    </w:p>
    <w:p w:rsidR="00000000" w:rsidDel="00000000" w:rsidP="00000000" w:rsidRDefault="00000000" w:rsidRPr="00000000" w14:paraId="000000ED">
      <w:pPr>
        <w:numPr>
          <w:ilvl w:val="1"/>
          <w:numId w:val="1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Differential Diagnosis and Confirmation</w:t>
      </w:r>
      <w:r w:rsidDel="00000000" w:rsidR="00000000" w:rsidRPr="00000000">
        <w:rPr>
          <w:rFonts w:ascii="Google Sans Text" w:cs="Google Sans Text" w:eastAsia="Google Sans Text" w:hAnsi="Google Sans Text"/>
          <w:i w:val="0"/>
          <w:color w:val="1b1c1d"/>
          <w:sz w:val="24"/>
          <w:szCs w:val="24"/>
          <w:rtl w:val="0"/>
        </w:rPr>
        <w:t xml:space="preserve">: In cases where the clinical phenotype is ambiguous and overlaps between several syndromes (e.g., Kabuki syndrome vs. Rubinstein-Taybi syndrome), the episignature can provide a definitive answer by matching to one specific signature and not the other.</w:t>
      </w:r>
      <w:r w:rsidDel="00000000" w:rsidR="00000000" w:rsidRPr="00000000">
        <w:rPr>
          <w:rFonts w:ascii="Google Sans Text" w:cs="Google Sans Text" w:eastAsia="Google Sans Text" w:hAnsi="Google Sans Text"/>
          <w:i w:val="0"/>
          <w:color w:val="575b5f"/>
          <w:sz w:val="24"/>
          <w:szCs w:val="24"/>
          <w:vertAlign w:val="superscript"/>
          <w:rtl w:val="0"/>
        </w:rPr>
        <w:t xml:space="preserve">67</w:t>
      </w:r>
      <w:r w:rsidDel="00000000" w:rsidR="00000000" w:rsidRPr="00000000">
        <w:rPr>
          <w:rFonts w:ascii="Google Sans Text" w:cs="Google Sans Text" w:eastAsia="Google Sans Text" w:hAnsi="Google Sans Text"/>
          <w:i w:val="0"/>
          <w:color w:val="1b1c1d"/>
          <w:sz w:val="24"/>
          <w:szCs w:val="24"/>
          <w:rtl w:val="0"/>
        </w:rPr>
        <w:t xml:space="preserve"> It can also confirm a clinical diagnosis in patients who have a classic presentation but in whom NGS testing was negative.</w:t>
      </w:r>
    </w:p>
    <w:p w:rsidR="00000000" w:rsidDel="00000000" w:rsidP="00000000" w:rsidRDefault="00000000" w:rsidRPr="00000000" w14:paraId="000000EE">
      <w:pPr>
        <w:numPr>
          <w:ilvl w:val="1"/>
          <w:numId w:val="1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Guiding Genetic Testing and Novel Disease Discovery</w:t>
      </w:r>
      <w:r w:rsidDel="00000000" w:rsidR="00000000" w:rsidRPr="00000000">
        <w:rPr>
          <w:rFonts w:ascii="Google Sans Text" w:cs="Google Sans Text" w:eastAsia="Google Sans Text" w:hAnsi="Google Sans Text"/>
          <w:i w:val="0"/>
          <w:color w:val="1b1c1d"/>
          <w:sz w:val="24"/>
          <w:szCs w:val="24"/>
          <w:rtl w:val="0"/>
        </w:rPr>
        <w:t xml:space="preserve">: In some instances, episignature analysis can be used as a screening tool. A patient with a non-specific neurodevelopmental phenotype who matches, for example, the BAFopathy episignature can then be prioritized for sequencing of the known BAF complex genes.</w:t>
      </w:r>
      <w:r w:rsidDel="00000000" w:rsidR="00000000" w:rsidRPr="00000000">
        <w:rPr>
          <w:rFonts w:ascii="Google Sans Text" w:cs="Google Sans Text" w:eastAsia="Google Sans Text" w:hAnsi="Google Sans Text"/>
          <w:i w:val="0"/>
          <w:color w:val="575b5f"/>
          <w:sz w:val="24"/>
          <w:szCs w:val="24"/>
          <w:vertAlign w:val="superscript"/>
          <w:rtl w:val="0"/>
        </w:rPr>
        <w:t xml:space="preserve">66</w:t>
      </w:r>
      <w:r w:rsidDel="00000000" w:rsidR="00000000" w:rsidRPr="00000000">
        <w:rPr>
          <w:rFonts w:ascii="Google Sans Text" w:cs="Google Sans Text" w:eastAsia="Google Sans Text" w:hAnsi="Google Sans Text"/>
          <w:i w:val="0"/>
          <w:color w:val="1b1c1d"/>
          <w:sz w:val="24"/>
          <w:szCs w:val="24"/>
          <w:rtl w:val="0"/>
        </w:rPr>
        <w:t xml:space="preserve"> Furthermore, if a group of undiagnosed patients, who all happen to have VUSs in the same novel candidate gene, are found to share a unique, consistent episignature, this provides powerful evidence for establishing a new disease-gene association.</w:t>
      </w:r>
    </w:p>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technology represents a critical bridge between genotype and phenotype. It moves diagnostics beyond the mere identification of a DNA sequence change to the functional validation of its downstream impact on the epigenome.</w:t>
      </w:r>
    </w:p>
    <w:p w:rsidR="00000000" w:rsidDel="00000000" w:rsidP="00000000" w:rsidRDefault="00000000" w:rsidRPr="00000000" w14:paraId="000000F0">
      <w:pPr>
        <w:numPr>
          <w:ilvl w:val="0"/>
          <w:numId w:val="1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Limitations and Challenges</w:t>
      </w:r>
      <w:r w:rsidDel="00000000" w:rsidR="00000000" w:rsidRPr="00000000">
        <w:rPr>
          <w:rFonts w:ascii="Google Sans Text" w:cs="Google Sans Text" w:eastAsia="Google Sans Text" w:hAnsi="Google Sans Text"/>
          <w:i w:val="0"/>
          <w:color w:val="1b1c1d"/>
          <w:sz w:val="24"/>
          <w:szCs w:val="24"/>
          <w:rtl w:val="0"/>
        </w:rPr>
        <w:t xml:space="preserve">: Despite its power, episignature analysis is not without limitations.</w:t>
      </w:r>
    </w:p>
    <w:p w:rsidR="00000000" w:rsidDel="00000000" w:rsidP="00000000" w:rsidRDefault="00000000" w:rsidRPr="00000000" w14:paraId="000000F1">
      <w:pPr>
        <w:numPr>
          <w:ilvl w:val="1"/>
          <w:numId w:val="17"/>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1"/>
          <w:color w:val="1b1c1d"/>
          <w:sz w:val="24"/>
          <w:szCs w:val="24"/>
          <w:rtl w:val="0"/>
        </w:rPr>
        <w:t xml:space="preserve">Signature Specificity</w:t>
      </w:r>
      <w:r w:rsidDel="00000000" w:rsidR="00000000" w:rsidRPr="00000000">
        <w:rPr>
          <w:rFonts w:ascii="Google Sans Text" w:cs="Google Sans Text" w:eastAsia="Google Sans Text" w:hAnsi="Google Sans Text"/>
          <w:i w:val="0"/>
          <w:color w:val="1b1c1d"/>
          <w:sz w:val="24"/>
          <w:szCs w:val="24"/>
          <w:rtl w:val="0"/>
        </w:rPr>
        <w:t xml:space="preserve">: The idea that each syndrome has a completely unique signature is not entirely accurate. It has been observed that pathogenic variants in functionally related genes can produce similar or overlapping episignatures. For example, variants in the PRC2 complex genes </w:t>
      </w:r>
      <w:r w:rsidDel="00000000" w:rsidR="00000000" w:rsidRPr="00000000">
        <w:rPr>
          <w:rFonts w:ascii="Google Sans Text" w:cs="Google Sans Text" w:eastAsia="Google Sans Text" w:hAnsi="Google Sans Text"/>
          <w:i w:val="1"/>
          <w:color w:val="1b1c1d"/>
          <w:sz w:val="24"/>
          <w:szCs w:val="24"/>
          <w:rtl w:val="0"/>
        </w:rPr>
        <w:t xml:space="preserve">EZH2</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SUZ12</w:t>
      </w:r>
      <w:r w:rsidDel="00000000" w:rsidR="00000000" w:rsidRPr="00000000">
        <w:rPr>
          <w:rFonts w:ascii="Google Sans Text" w:cs="Google Sans Text" w:eastAsia="Google Sans Text" w:hAnsi="Google Sans Text"/>
          <w:i w:val="0"/>
          <w:color w:val="1b1c1d"/>
          <w:sz w:val="24"/>
          <w:szCs w:val="24"/>
          <w:rtl w:val="0"/>
        </w:rPr>
        <w:t xml:space="preserve">, and </w:t>
      </w:r>
      <w:r w:rsidDel="00000000" w:rsidR="00000000" w:rsidRPr="00000000">
        <w:rPr>
          <w:rFonts w:ascii="Google Sans Text" w:cs="Google Sans Text" w:eastAsia="Google Sans Text" w:hAnsi="Google Sans Text"/>
          <w:i w:val="1"/>
          <w:color w:val="1b1c1d"/>
          <w:sz w:val="24"/>
          <w:szCs w:val="24"/>
          <w:rtl w:val="0"/>
        </w:rPr>
        <w:t xml:space="preserve">EED</w:t>
      </w:r>
      <w:r w:rsidDel="00000000" w:rsidR="00000000" w:rsidRPr="00000000">
        <w:rPr>
          <w:rFonts w:ascii="Google Sans Text" w:cs="Google Sans Text" w:eastAsia="Google Sans Text" w:hAnsi="Google Sans Text"/>
          <w:i w:val="0"/>
          <w:color w:val="1b1c1d"/>
          <w:sz w:val="24"/>
          <w:szCs w:val="24"/>
          <w:rtl w:val="0"/>
        </w:rPr>
        <w:t xml:space="preserve"> all produce a similar Weaver syndrome-like signature.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Similarly, variants in the Kabuki syndrome genes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1"/>
          <w:color w:val="1b1c1d"/>
          <w:sz w:val="24"/>
          <w:szCs w:val="24"/>
          <w:rtl w:val="0"/>
        </w:rPr>
        <w:t xml:space="preserve">KMT2D</w:t>
      </w:r>
      <w:r w:rsidDel="00000000" w:rsidR="00000000" w:rsidRPr="00000000">
        <w:rPr>
          <w:rFonts w:ascii="Google Sans Text" w:cs="Google Sans Text" w:eastAsia="Google Sans Text" w:hAnsi="Google Sans Text"/>
          <w:i w:val="0"/>
          <w:color w:val="1b1c1d"/>
          <w:sz w:val="24"/>
          <w:szCs w:val="24"/>
          <w:rtl w:val="0"/>
        </w:rPr>
        <w:t xml:space="preserve"> and </w:t>
      </w:r>
      <w:r w:rsidDel="00000000" w:rsidR="00000000" w:rsidRPr="00000000">
        <w:rPr>
          <w:rFonts w:ascii="Google Sans Text" w:cs="Google Sans Text" w:eastAsia="Google Sans Text" w:hAnsi="Google Sans Text"/>
          <w:i w:val="1"/>
          <w:color w:val="1b1c1d"/>
          <w:sz w:val="24"/>
          <w:szCs w:val="24"/>
          <w:rtl w:val="0"/>
        </w:rPr>
        <w:t xml:space="preserve">KDM6A</w:t>
      </w:r>
      <w:r w:rsidDel="00000000" w:rsidR="00000000" w:rsidRPr="00000000">
        <w:rPr>
          <w:rFonts w:ascii="Google Sans Text" w:cs="Google Sans Text" w:eastAsia="Google Sans Text" w:hAnsi="Google Sans Text"/>
          <w:i w:val="0"/>
          <w:color w:val="1b1c1d"/>
          <w:sz w:val="24"/>
          <w:szCs w:val="24"/>
          <w:rtl w:val="0"/>
        </w:rPr>
        <w:t xml:space="preserve"> can show cross-reactivity.</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While this can be a diagnostic challenge, it also provides profound biological insight into shared molecular pathways.</w:t>
      </w:r>
    </w:p>
    <w:p w:rsidR="00000000" w:rsidDel="00000000" w:rsidP="00000000" w:rsidRDefault="00000000" w:rsidRPr="00000000" w14:paraId="000000F2">
      <w:pPr>
        <w:numPr>
          <w:ilvl w:val="1"/>
          <w:numId w:val="1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1"/>
          <w:color w:val="1b1c1d"/>
          <w:sz w:val="24"/>
          <w:szCs w:val="24"/>
          <w:rtl w:val="0"/>
        </w:rPr>
        <w:t xml:space="preserve">Sensitivity and Tissue Specificity</w:t>
      </w:r>
      <w:r w:rsidDel="00000000" w:rsidR="00000000" w:rsidRPr="00000000">
        <w:rPr>
          <w:rFonts w:ascii="Google Sans Text" w:cs="Google Sans Text" w:eastAsia="Google Sans Text" w:hAnsi="Google Sans Text"/>
          <w:i w:val="0"/>
          <w:color w:val="1b1c1d"/>
          <w:sz w:val="24"/>
          <w:szCs w:val="24"/>
          <w:rtl w:val="0"/>
        </w:rPr>
        <w:t xml:space="preserve">: The test is performed on DNA from peripheral blood. Its sensitivity can be compromised in cases of low-level somatic mosaicism, where the mutation is rare in the blood lineage.</w:t>
      </w:r>
      <w:r w:rsidDel="00000000" w:rsidR="00000000" w:rsidRPr="00000000">
        <w:rPr>
          <w:rFonts w:ascii="Google Sans Text" w:cs="Google Sans Text" w:eastAsia="Google Sans Text" w:hAnsi="Google Sans Text"/>
          <w:i w:val="0"/>
          <w:color w:val="575b5f"/>
          <w:sz w:val="24"/>
          <w:szCs w:val="24"/>
          <w:vertAlign w:val="superscript"/>
          <w:rtl w:val="0"/>
        </w:rPr>
        <w:t xml:space="preserve">66</w:t>
      </w:r>
      <w:r w:rsidDel="00000000" w:rsidR="00000000" w:rsidRPr="00000000">
        <w:rPr>
          <w:rFonts w:ascii="Google Sans Text" w:cs="Google Sans Text" w:eastAsia="Google Sans Text" w:hAnsi="Google Sans Text"/>
          <w:i w:val="0"/>
          <w:color w:val="1b1c1d"/>
          <w:sz w:val="24"/>
          <w:szCs w:val="24"/>
          <w:rtl w:val="0"/>
        </w:rPr>
        <w:t xml:space="preserve"> For X-linked disorders like Kabuki syndrome type 2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1"/>
          <w:color w:val="1b1c1d"/>
          <w:sz w:val="24"/>
          <w:szCs w:val="24"/>
          <w:rtl w:val="0"/>
        </w:rPr>
        <w:t xml:space="preserve">KDM6A</w:t>
      </w:r>
      <w:r w:rsidDel="00000000" w:rsidR="00000000" w:rsidRPr="00000000">
        <w:rPr>
          <w:rFonts w:ascii="Google Sans Text" w:cs="Google Sans Text" w:eastAsia="Google Sans Text" w:hAnsi="Google Sans Text"/>
          <w:i w:val="0"/>
          <w:color w:val="1b1c1d"/>
          <w:sz w:val="24"/>
          <w:szCs w:val="24"/>
          <w:rtl w:val="0"/>
        </w:rPr>
        <w:t xml:space="preserve">), skewed X-chromosome inactivation in females can mask the signature. The epigenetic profiles of neonates can also be globally hypomethylated, potentially reducing the specificity of the test in very young infants.</w:t>
      </w:r>
      <w:r w:rsidDel="00000000" w:rsidR="00000000" w:rsidRPr="00000000">
        <w:rPr>
          <w:rFonts w:ascii="Google Sans Text" w:cs="Google Sans Text" w:eastAsia="Google Sans Text" w:hAnsi="Google Sans Text"/>
          <w:i w:val="0"/>
          <w:color w:val="575b5f"/>
          <w:sz w:val="24"/>
          <w:szCs w:val="24"/>
          <w:vertAlign w:val="superscript"/>
          <w:rtl w:val="0"/>
        </w:rPr>
        <w:t xml:space="preserve">66</w:t>
      </w:r>
    </w:p>
    <w:p w:rsidR="00000000" w:rsidDel="00000000" w:rsidP="00000000" w:rsidRDefault="00000000" w:rsidRPr="00000000" w14:paraId="000000F3">
      <w:pPr>
        <w:numPr>
          <w:ilvl w:val="1"/>
          <w:numId w:val="1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i w:val="1"/>
          <w:color w:val="1b1c1d"/>
          <w:sz w:val="24"/>
          <w:szCs w:val="24"/>
          <w:rtl w:val="0"/>
        </w:rPr>
        <w:t xml:space="preserve">Applicability</w:t>
      </w:r>
      <w:r w:rsidDel="00000000" w:rsidR="00000000" w:rsidRPr="00000000">
        <w:rPr>
          <w:rFonts w:ascii="Google Sans Text" w:cs="Google Sans Text" w:eastAsia="Google Sans Text" w:hAnsi="Google Sans Text"/>
          <w:i w:val="0"/>
          <w:color w:val="1b1c1d"/>
          <w:sz w:val="24"/>
          <w:szCs w:val="24"/>
          <w:rtl w:val="0"/>
        </w:rPr>
        <w:t xml:space="preserve">: A distinct, blood-based episignature has not been identified for every chromatinopathy. The disorders most amenable to this technology are those caused by mutations in the "writers" and "erasers" of histone and DNA marks. Disorders caused by mutations in "readers" or tissue-specific chromatin remodelers may not produce a robust or detectable signature in blood.</w:t>
      </w:r>
    </w:p>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Table 3: Diagnostic Modalities for Chromatinopathies: A Comparative Analysis</w:t>
      </w:r>
    </w:p>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4"/>
          <w:szCs w:val="24"/>
        </w:rPr>
      </w:pPr>
      <w:r w:rsidDel="00000000" w:rsidR="00000000" w:rsidRPr="00000000">
        <w:rPr>
          <w:rtl w:val="0"/>
        </w:rPr>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Diagnostic Modality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Principle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Key Advantages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Key Limitations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Optimal Clinical Use Case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Clinical Assessment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Recognition of a characteristic pattern of physical and developmental features by an expert clinician.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Non-invasive, low cost, can generate a strong diagnostic hypothesis.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Subjective, requires expertise, phenotype can be variable and evolve with age, significant overlap between syndromes.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Initial evaluation of a patient with dysmorphism and developmental delay to guide further testing.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NGS (WES/WGS)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High-throughput sequencing of all protein-coding regions (exome) or the entire genome.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Hypothesis-free, high diagnostic yield, enables discovery of novel disease genes.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Generates a high number of Variants of Uncertain Significance (VUS), may miss certain variant types (e.g., structural variants, deep intronic), interpretation can be complex.</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First or second-tier genetic test for individuals with a suspected but undefined genetic disorder.</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Chromosomal Microarray (CMA)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Detects copy number variants (CNVs) - microdeletions and microduplications - across the genome.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First-tier test for ID/autism, detects structural variants missed by WES, high resolution.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Cannot detect single nucleotide variants (SNVs) or balanced rearrangements, also identifies VUSs.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Standard initial test for neurodevelopmental disorders to rule out known microdeletion/duplication syndromes.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DNA Methylation Episignature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Genome-wide analysis of DNA methylation patterns in blood to identify a disease-specific epigenetic "fingerprint".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Provides functional evidence, resolves VUSs from NGS, can diagnose in NGS-negative cases, distinguishes overlapping phenotypes.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Not all disorders have a known signature, blood-based test may miss mosaicism, signature specificity can be complex (overlapping signatures), less sensitive in neonates.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Second-tier functional test to classify VUSs, resolve differential diagnoses, or screen for a panel of known chromatinopathies.</w:t>
            </w:r>
          </w:p>
        </w:tc>
      </w:tr>
    </w:tbl>
    <w:p w:rsidR="00000000" w:rsidDel="00000000" w:rsidP="00000000" w:rsidRDefault="00000000" w:rsidRPr="00000000" w14:paraId="0000010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p w:rsidR="00000000" w:rsidDel="00000000" w:rsidP="00000000" w:rsidRDefault="00000000" w:rsidRPr="00000000" w14:paraId="00000110">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VI. Therapeutic Horizons and Future Research Directions</w:t>
      </w:r>
    </w:p>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ultimate goal of studying chromatinopathies is to translate fundamental biological understanding into effective therapies that can improve the lives of affected individuals and their families. While the field has made tremendous strides in genetics and diagnostics, the therapeutic landscape remains largely undeveloped. However, a confluence of emerging technologies and a deeper understanding of pathogenesis are opening new and exciting avenues for intervention. This section reviews the current state of management, explores promising therapeutic strategies, and outlines the critical future research directions that will be necessary to turn hope into reality.</w:t>
      </w:r>
    </w:p>
    <w:p w:rsidR="00000000" w:rsidDel="00000000" w:rsidP="00000000" w:rsidRDefault="00000000" w:rsidRPr="00000000" w14:paraId="0000011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1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6.1. Current Management and Unmet Needs</w:t>
      </w:r>
    </w:p>
    <w:p w:rsidR="00000000" w:rsidDel="00000000" w:rsidP="00000000" w:rsidRDefault="00000000" w:rsidRPr="00000000" w14:paraId="0000011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For nearly all of the more than 100 known chromatinopathies, there is currently no specific, disease-modifying treatment available that targets the underlying molecular defect.</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The standard of care is supportive and multidisciplinary, aimed at managing the complex medical and developmental issues associated with each syndrome. This involves a coordinated team of specialists to address symptoms such as congenital heart defects, gastrointestinal problems like GERD, seizures, hearing and vision impairments, and skeletal abnormalities.</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r w:rsidDel="00000000" w:rsidR="00000000" w:rsidRPr="00000000">
        <w:rPr>
          <w:rFonts w:ascii="Google Sans Text" w:cs="Google Sans Text" w:eastAsia="Google Sans Text" w:hAnsi="Google Sans Text"/>
          <w:i w:val="0"/>
          <w:color w:val="1b1c1d"/>
          <w:sz w:val="24"/>
          <w:szCs w:val="24"/>
          <w:rtl w:val="0"/>
        </w:rPr>
        <w:t xml:space="preserve"> A cornerstone of management is early intervention with developmental therapies, including physical, occupational, and speech therapy, to maximize each individual's potential.</w:t>
      </w:r>
    </w:p>
    <w:p w:rsidR="00000000" w:rsidDel="00000000" w:rsidP="00000000" w:rsidRDefault="00000000" w:rsidRPr="00000000" w14:paraId="0000011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central and most formidable challenge in developing therapies for chromatinopathies is that they are, by definition, developmental disorders. The genetic defect is present from conception, and much of the resulting pathology, particularly in the central nervous system, occurs </w:t>
      </w:r>
      <w:r w:rsidDel="00000000" w:rsidR="00000000" w:rsidRPr="00000000">
        <w:rPr>
          <w:rFonts w:ascii="Google Sans Text" w:cs="Google Sans Text" w:eastAsia="Google Sans Text" w:hAnsi="Google Sans Text"/>
          <w:i w:val="1"/>
          <w:color w:val="1b1c1d"/>
          <w:sz w:val="24"/>
          <w:szCs w:val="24"/>
          <w:rtl w:val="0"/>
        </w:rPr>
        <w:t xml:space="preserve">in utero</w:t>
      </w:r>
      <w:r w:rsidDel="00000000" w:rsidR="00000000" w:rsidRPr="00000000">
        <w:rPr>
          <w:rFonts w:ascii="Google Sans Text" w:cs="Google Sans Text" w:eastAsia="Google Sans Text" w:hAnsi="Google Sans Text"/>
          <w:i w:val="0"/>
          <w:color w:val="1b1c1d"/>
          <w:sz w:val="24"/>
          <w:szCs w:val="24"/>
          <w:rtl w:val="0"/>
        </w:rPr>
        <w:t xml:space="preserve"> as the fundamental architecture of the brain is being established. This raises a critical question about the potential for postnatal intervention. However, there is a crucial window of hope. Evidence from both animal models and human studies suggests that some aspects of the neurological dysfunction in these disorders may not be irreversibly fixed at birth but may be amenable to treatment in postnatal life.</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This possibility of reversing or ameliorating established deficits provides the primary motivation for the pursuit of novel therapeutic strategies.</w:t>
      </w:r>
    </w:p>
    <w:p w:rsidR="00000000" w:rsidDel="00000000" w:rsidP="00000000" w:rsidRDefault="00000000" w:rsidRPr="00000000" w14:paraId="0000011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1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6.2. Emerging Therapeutic Strategies</w:t>
      </w:r>
    </w:p>
    <w:p w:rsidR="00000000" w:rsidDel="00000000" w:rsidP="00000000" w:rsidRDefault="00000000" w:rsidRPr="00000000" w14:paraId="0000011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As the molecular mechanisms of chromatinopathies become clearer, several new therapeutic approaches are emerging, moving beyond symptomatic management to target the root cause of the disease.</w:t>
      </w:r>
    </w:p>
    <w:p w:rsidR="00000000" w:rsidDel="00000000" w:rsidP="00000000" w:rsidRDefault="00000000" w:rsidRPr="00000000" w14:paraId="0000011C">
      <w:pPr>
        <w:numPr>
          <w:ilvl w:val="0"/>
          <w:numId w:val="1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Targeting Epigenetic Pathways with Small Molecules</w:t>
      </w:r>
      <w:r w:rsidDel="00000000" w:rsidR="00000000" w:rsidRPr="00000000">
        <w:rPr>
          <w:rFonts w:ascii="Google Sans Text" w:cs="Google Sans Text" w:eastAsia="Google Sans Text" w:hAnsi="Google Sans Text"/>
          <w:i w:val="0"/>
          <w:color w:val="1b1c1d"/>
          <w:sz w:val="24"/>
          <w:szCs w:val="24"/>
          <w:rtl w:val="0"/>
        </w:rPr>
        <w:t xml:space="preserve">: The inherent reversibility of epigenetic modifications is a key concept that makes them attractive therapeutic targets.</w:t>
      </w:r>
      <w:r w:rsidDel="00000000" w:rsidR="00000000" w:rsidRPr="00000000">
        <w:rPr>
          <w:rFonts w:ascii="Google Sans Text" w:cs="Google Sans Text" w:eastAsia="Google Sans Text" w:hAnsi="Google Sans Text"/>
          <w:i w:val="0"/>
          <w:color w:val="575b5f"/>
          <w:sz w:val="24"/>
          <w:szCs w:val="24"/>
          <w:vertAlign w:val="superscript"/>
          <w:rtl w:val="0"/>
        </w:rPr>
        <w:t xml:space="preserve">72</w:t>
      </w:r>
      <w:r w:rsidDel="00000000" w:rsidR="00000000" w:rsidRPr="00000000">
        <w:rPr>
          <w:rFonts w:ascii="Google Sans Text" w:cs="Google Sans Text" w:eastAsia="Google Sans Text" w:hAnsi="Google Sans Text"/>
          <w:i w:val="0"/>
          <w:color w:val="1b1c1d"/>
          <w:sz w:val="24"/>
          <w:szCs w:val="24"/>
          <w:rtl w:val="0"/>
        </w:rPr>
        <w:t xml:space="preserve"> A vast pharmacopeia of "epigenetic drugs," such as Histone Deacetylase (HDAC) inhibitors and Histone Methyltransferase (HMT) inhibitors, has been developed for the treatment of cancer. There is considerable interest in the possibility of repurposing these small molecules to treat chromatinopathies. The goal would be to use these drugs to pharmacologically rebalance the epigenetic state that has been disrupted by the primary genetic mutation. For example, in a disorder caused by loss-of-function of a HAT enzyme, an HDAC inhibitor might help to restore a more open chromatin state. However, this approach faces immense challenges. These drugs have global effects and lack specificity, which could lead to significant off-target effects, particularly in a developing or developed organism where epigenetic patterns must be precisely maintained. Achieving a therapeutic effect without unacceptable toxicity will be a major hurdle.</w:t>
      </w:r>
    </w:p>
    <w:p w:rsidR="00000000" w:rsidDel="00000000" w:rsidP="00000000" w:rsidRDefault="00000000" w:rsidRPr="00000000" w14:paraId="0000011D">
      <w:pPr>
        <w:numPr>
          <w:ilvl w:val="0"/>
          <w:numId w:val="1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The Promise of Epigenetic Editing</w:t>
      </w:r>
      <w:r w:rsidDel="00000000" w:rsidR="00000000" w:rsidRPr="00000000">
        <w:rPr>
          <w:rFonts w:ascii="Google Sans Text" w:cs="Google Sans Text" w:eastAsia="Google Sans Text" w:hAnsi="Google Sans Text"/>
          <w:i w:val="0"/>
          <w:color w:val="1b1c1d"/>
          <w:sz w:val="24"/>
          <w:szCs w:val="24"/>
          <w:rtl w:val="0"/>
        </w:rPr>
        <w:t xml:space="preserve">: A revolutionary and highly promising future direction is the development of epigenetic editing technologies. This approach leverages the targeting ability of the CRISPR-Cas9 system but removes its DNA-cutting function. Instead, a nuclease-dead Cas9 (dCas9) protein is fused to an epigenetic effector domain—such as a "writer" (e.g., a HAT or HMT domain) or an "eraser" (e.g., an HDM domain).</w:t>
      </w:r>
      <w:r w:rsidDel="00000000" w:rsidR="00000000" w:rsidRPr="00000000">
        <w:rPr>
          <w:rFonts w:ascii="Google Sans Text" w:cs="Google Sans Text" w:eastAsia="Google Sans Text" w:hAnsi="Google Sans Text"/>
          <w:i w:val="0"/>
          <w:color w:val="575b5f"/>
          <w:sz w:val="24"/>
          <w:szCs w:val="24"/>
          <w:vertAlign w:val="superscript"/>
          <w:rtl w:val="0"/>
        </w:rPr>
        <w:t xml:space="preserve">73</w:t>
      </w:r>
      <w:r w:rsidDel="00000000" w:rsidR="00000000" w:rsidRPr="00000000">
        <w:rPr>
          <w:rFonts w:ascii="Google Sans Text" w:cs="Google Sans Text" w:eastAsia="Google Sans Text" w:hAnsi="Google Sans Text"/>
          <w:i w:val="0"/>
          <w:color w:val="1b1c1d"/>
          <w:sz w:val="24"/>
          <w:szCs w:val="24"/>
          <w:rtl w:val="0"/>
        </w:rPr>
        <w:t xml:space="preserve"> This engineered protein can be programmed with a guide RNA to navigate to a specific location in the genome, such as the promoter of a particular gene. Once there, it can directly rewrite the local epigenetic state, for example, by adding activating marks to the promoter of the remaining healthy allele in a haploinsufficiency disorder to boost its expression and compensate for the mutated copy.</w:t>
      </w:r>
      <w:r w:rsidDel="00000000" w:rsidR="00000000" w:rsidRPr="00000000">
        <w:rPr>
          <w:rFonts w:ascii="Google Sans Text" w:cs="Google Sans Text" w:eastAsia="Google Sans Text" w:hAnsi="Google Sans Text"/>
          <w:i w:val="0"/>
          <w:color w:val="575b5f"/>
          <w:sz w:val="24"/>
          <w:szCs w:val="24"/>
          <w:vertAlign w:val="superscript"/>
          <w:rtl w:val="0"/>
        </w:rPr>
        <w:t xml:space="preserve">75</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The advantages of this strategy are profound. It offers a way to precisely modulate the expression of endogenous genes without causing permanent, irreversible changes to the DNA sequence, thereby avoiding the risks of off-target DNA damage associated with traditional gene editing.</w:t>
      </w:r>
      <w:r w:rsidDel="00000000" w:rsidR="00000000" w:rsidRPr="00000000">
        <w:rPr>
          <w:rFonts w:ascii="Google Sans Text" w:cs="Google Sans Text" w:eastAsia="Google Sans Text" w:hAnsi="Google Sans Text"/>
          <w:i w:val="0"/>
          <w:color w:val="575b5f"/>
          <w:sz w:val="24"/>
          <w:szCs w:val="24"/>
          <w:vertAlign w:val="superscript"/>
          <w:rtl w:val="0"/>
        </w:rPr>
        <w:t xml:space="preserve">74</w:t>
      </w:r>
      <w:r w:rsidDel="00000000" w:rsidR="00000000" w:rsidRPr="00000000">
        <w:rPr>
          <w:rFonts w:ascii="Google Sans Text" w:cs="Google Sans Text" w:eastAsia="Google Sans Text" w:hAnsi="Google Sans Text"/>
          <w:i w:val="0"/>
          <w:color w:val="1b1c1d"/>
          <w:sz w:val="24"/>
          <w:szCs w:val="24"/>
          <w:rtl w:val="0"/>
        </w:rPr>
        <w:t xml:space="preserve"> The effects are potentially tunable and reversible. However, significant challenges remain, most notably the safe and efficient delivery of these large protein-RNA complexes to the correct target tissues, especially the brain, and ensuring the long-term stability and durability of the epigenetic edits once they are made.</w:t>
      </w:r>
      <w:r w:rsidDel="00000000" w:rsidR="00000000" w:rsidRPr="00000000">
        <w:rPr>
          <w:rFonts w:ascii="Google Sans Text" w:cs="Google Sans Text" w:eastAsia="Google Sans Text" w:hAnsi="Google Sans Text"/>
          <w:i w:val="0"/>
          <w:color w:val="575b5f"/>
          <w:sz w:val="24"/>
          <w:szCs w:val="24"/>
          <w:vertAlign w:val="superscript"/>
          <w:rtl w:val="0"/>
        </w:rPr>
        <w:t xml:space="preserve">78</w:t>
      </w:r>
    </w:p>
    <w:p w:rsidR="00000000" w:rsidDel="00000000" w:rsidP="00000000" w:rsidRDefault="00000000" w:rsidRPr="00000000" w14:paraId="0000011E">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11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6.3. Advanced Research Models for a New Era</w:t>
      </w:r>
    </w:p>
    <w:p w:rsidR="00000000" w:rsidDel="00000000" w:rsidP="00000000" w:rsidRDefault="00000000" w:rsidRPr="00000000" w14:paraId="0000012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Progress in developing therapies is critically dependent on having robust and relevant disease models for mechanistic studies and preclinical testing.</w:t>
      </w:r>
    </w:p>
    <w:p w:rsidR="00000000" w:rsidDel="00000000" w:rsidP="00000000" w:rsidRDefault="00000000" w:rsidRPr="00000000" w14:paraId="00000122">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Animal Models</w:t>
      </w:r>
      <w:r w:rsidDel="00000000" w:rsidR="00000000" w:rsidRPr="00000000">
        <w:rPr>
          <w:rFonts w:ascii="Google Sans Text" w:cs="Google Sans Text" w:eastAsia="Google Sans Text" w:hAnsi="Google Sans Text"/>
          <w:i w:val="0"/>
          <w:color w:val="1b1c1d"/>
          <w:sz w:val="24"/>
          <w:szCs w:val="24"/>
          <w:rtl w:val="0"/>
        </w:rPr>
        <w:t xml:space="preserve">: Animal models remain an indispensable tool in chromatinopathy research. Models in the mouse (</w:t>
      </w:r>
      <w:r w:rsidDel="00000000" w:rsidR="00000000" w:rsidRPr="00000000">
        <w:rPr>
          <w:rFonts w:ascii="Google Sans Text" w:cs="Google Sans Text" w:eastAsia="Google Sans Text" w:hAnsi="Google Sans Text"/>
          <w:i w:val="1"/>
          <w:color w:val="1b1c1d"/>
          <w:sz w:val="24"/>
          <w:szCs w:val="24"/>
          <w:rtl w:val="0"/>
        </w:rPr>
        <w:t xml:space="preserve">Mus musculus</w:t>
      </w:r>
      <w:r w:rsidDel="00000000" w:rsidR="00000000" w:rsidRPr="00000000">
        <w:rPr>
          <w:rFonts w:ascii="Google Sans Text" w:cs="Google Sans Text" w:eastAsia="Google Sans Text" w:hAnsi="Google Sans Text"/>
          <w:i w:val="0"/>
          <w:color w:val="1b1c1d"/>
          <w:sz w:val="24"/>
          <w:szCs w:val="24"/>
          <w:rtl w:val="0"/>
        </w:rPr>
        <w:t xml:space="preserve">), fruit fly (</w:t>
      </w:r>
      <w:r w:rsidDel="00000000" w:rsidR="00000000" w:rsidRPr="00000000">
        <w:rPr>
          <w:rFonts w:ascii="Google Sans Text" w:cs="Google Sans Text" w:eastAsia="Google Sans Text" w:hAnsi="Google Sans Text"/>
          <w:i w:val="1"/>
          <w:color w:val="1b1c1d"/>
          <w:sz w:val="24"/>
          <w:szCs w:val="24"/>
          <w:rtl w:val="0"/>
        </w:rPr>
        <w:t xml:space="preserve">Drosophila melanogaster</w:t>
      </w:r>
      <w:r w:rsidDel="00000000" w:rsidR="00000000" w:rsidRPr="00000000">
        <w:rPr>
          <w:rFonts w:ascii="Google Sans Text" w:cs="Google Sans Text" w:eastAsia="Google Sans Text" w:hAnsi="Google Sans Text"/>
          <w:i w:val="0"/>
          <w:color w:val="1b1c1d"/>
          <w:sz w:val="24"/>
          <w:szCs w:val="24"/>
          <w:rtl w:val="0"/>
        </w:rPr>
        <w:t xml:space="preserve">), and zebrafish (</w:t>
      </w:r>
      <w:r w:rsidDel="00000000" w:rsidR="00000000" w:rsidRPr="00000000">
        <w:rPr>
          <w:rFonts w:ascii="Google Sans Text" w:cs="Google Sans Text" w:eastAsia="Google Sans Text" w:hAnsi="Google Sans Text"/>
          <w:i w:val="1"/>
          <w:color w:val="1b1c1d"/>
          <w:sz w:val="24"/>
          <w:szCs w:val="24"/>
          <w:rtl w:val="0"/>
        </w:rPr>
        <w:t xml:space="preserve">Danio rerio</w:t>
      </w:r>
      <w:r w:rsidDel="00000000" w:rsidR="00000000" w:rsidRPr="00000000">
        <w:rPr>
          <w:rFonts w:ascii="Google Sans Text" w:cs="Google Sans Text" w:eastAsia="Google Sans Text" w:hAnsi="Google Sans Text"/>
          <w:i w:val="0"/>
          <w:color w:val="1b1c1d"/>
          <w:sz w:val="24"/>
          <w:szCs w:val="24"/>
          <w:rtl w:val="0"/>
        </w:rPr>
        <w:t xml:space="preserve">) have been generated for numerous chromatinopathies. These models are essential for confirming that a candidate gene variant is indeed pathogenic, for dissecting the complex downstream molecular cascades, and for conducting initial preclinical testing of potential therapies.</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They have successfully recapitulated many of the core features of the human conditions, including growth defects, skeletal abnormalities, and neurodevelopmental and behavioral deficits.</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123">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Organoids as "Disease-in-a-Dish"</w:t>
      </w:r>
      <w:r w:rsidDel="00000000" w:rsidR="00000000" w:rsidRPr="00000000">
        <w:rPr>
          <w:rFonts w:ascii="Google Sans Text" w:cs="Google Sans Text" w:eastAsia="Google Sans Text" w:hAnsi="Google Sans Text"/>
          <w:i w:val="0"/>
          <w:color w:val="1b1c1d"/>
          <w:sz w:val="24"/>
          <w:szCs w:val="24"/>
          <w:rtl w:val="0"/>
        </w:rPr>
        <w:t xml:space="preserve">: A major leap forward in disease modeling has been the development of patient-derived organoids. This technology involves taking somatic cells (e.g., skin or blood cells) from a patient, reprogramming them into induced pluripotent stem cells (iPSCs), and then directing their differentiation in a 3D culture system to form miniature, self-organizing structures that mimic the architecture and function of a specific human organ.</w:t>
      </w:r>
      <w:r w:rsidDel="00000000" w:rsidR="00000000" w:rsidRPr="00000000">
        <w:rPr>
          <w:rFonts w:ascii="Google Sans Text" w:cs="Google Sans Text" w:eastAsia="Google Sans Text" w:hAnsi="Google Sans Text"/>
          <w:i w:val="0"/>
          <w:color w:val="575b5f"/>
          <w:sz w:val="24"/>
          <w:szCs w:val="24"/>
          <w:vertAlign w:val="superscript"/>
          <w:rtl w:val="0"/>
        </w:rPr>
        <w:t xml:space="preserve">81</w:t>
      </w:r>
      <w:r w:rsidDel="00000000" w:rsidR="00000000" w:rsidRPr="00000000">
        <w:rPr>
          <w:rFonts w:ascii="Google Sans Text" w:cs="Google Sans Text" w:eastAsia="Google Sans Text" w:hAnsi="Google Sans Text"/>
          <w:i w:val="0"/>
          <w:color w:val="1b1c1d"/>
          <w:sz w:val="24"/>
          <w:szCs w:val="24"/>
          <w:rtl w:val="0"/>
        </w:rPr>
        <w:t xml:space="preserve"> Cerebral (brain) organoids are particularly valuable for studying chromatinopathies, given the high prevalence of neurodevelopmental phenotypes. These models allow researchers to study human-specific aspects of brain development that are poorly conserved in animal models and to observe the direct consequences of a patient's specific mutation on processes like neuronal proliferation, differentiation, and migration.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83</w:t>
      </w:r>
      <w:r w:rsidDel="00000000" w:rsidR="00000000" w:rsidRPr="00000000">
        <w:rPr>
          <w:rFonts w:ascii="Google Sans Text" w:cs="Google Sans Text" w:eastAsia="Google Sans Text" w:hAnsi="Google Sans Text"/>
          <w:i w:val="0"/>
          <w:color w:val="1b1c1d"/>
          <w:sz w:val="24"/>
          <w:szCs w:val="24"/>
          <w:rtl w:val="0"/>
        </w:rPr>
        <w:t xml:space="preserve"> Organoids provide an unprecedented platform for dissecting disease mechanisms and for performing high-throughput screening of drug compounds on a patient-specific genetic background, a key step towards personalized medicine.</w:t>
      </w:r>
      <w:r w:rsidDel="00000000" w:rsidR="00000000" w:rsidRPr="00000000">
        <w:rPr>
          <w:rFonts w:ascii="Google Sans Text" w:cs="Google Sans Text" w:eastAsia="Google Sans Text" w:hAnsi="Google Sans Text"/>
          <w:i w:val="0"/>
          <w:color w:val="575b5f"/>
          <w:sz w:val="24"/>
          <w:szCs w:val="24"/>
          <w:vertAlign w:val="superscript"/>
          <w:rtl w:val="0"/>
        </w:rPr>
        <w:t xml:space="preserve">81</w:t>
      </w:r>
      <w:r w:rsidDel="00000000" w:rsidR="00000000" w:rsidRPr="00000000">
        <w:rPr>
          <w:rFonts w:ascii="Google Sans Text" w:cs="Google Sans Text" w:eastAsia="Google Sans Text" w:hAnsi="Google Sans Text"/>
          <w:i w:val="0"/>
          <w:color w:val="1b1c1d"/>
          <w:sz w:val="24"/>
          <w:szCs w:val="24"/>
          <w:rtl w:val="0"/>
        </w:rPr>
        <w:t xml:space="preserve"> Despite their power, organoid models have limitations, including a lack of vascularization, cellular stress, incomplete maturation, and significant batch-to-batch variability, which must be addressed as the technology matures.</w:t>
      </w:r>
      <w:r w:rsidDel="00000000" w:rsidR="00000000" w:rsidRPr="00000000">
        <w:rPr>
          <w:rFonts w:ascii="Google Sans Text" w:cs="Google Sans Text" w:eastAsia="Google Sans Text" w:hAnsi="Google Sans Text"/>
          <w:i w:val="0"/>
          <w:color w:val="575b5f"/>
          <w:sz w:val="24"/>
          <w:szCs w:val="24"/>
          <w:vertAlign w:val="superscript"/>
          <w:rtl w:val="0"/>
        </w:rPr>
        <w:t xml:space="preserve">81</w:t>
      </w:r>
    </w:p>
    <w:p w:rsidR="00000000" w:rsidDel="00000000" w:rsidP="00000000" w:rsidRDefault="00000000" w:rsidRPr="00000000" w14:paraId="00000124">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12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6.4. The Multi-Omics Approach: An Integrated View of Pathogenesis</w:t>
      </w:r>
    </w:p>
    <w:p w:rsidR="00000000" w:rsidDel="00000000" w:rsidP="00000000" w:rsidRDefault="00000000" w:rsidRPr="00000000" w14:paraId="0000012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Given the complexity of chromatinopathies, where a single genetic defect leads to widespread transcriptional dysregulation, a holistic, systems-level approach is required to fully understand pathogenesis. This is the goal of multi-omics research, which seeks to integrate data from multiple molecular layers to create a comprehensive picture of the disease state.</w:t>
      </w:r>
      <w:r w:rsidDel="00000000" w:rsidR="00000000" w:rsidRPr="00000000">
        <w:rPr>
          <w:rFonts w:ascii="Google Sans Text" w:cs="Google Sans Text" w:eastAsia="Google Sans Text" w:hAnsi="Google Sans Text"/>
          <w:i w:val="0"/>
          <w:color w:val="575b5f"/>
          <w:sz w:val="24"/>
          <w:szCs w:val="24"/>
          <w:vertAlign w:val="superscript"/>
          <w:rtl w:val="0"/>
        </w:rPr>
        <w:t xml:space="preserve">86</w:t>
      </w:r>
      <w:r w:rsidDel="00000000" w:rsidR="00000000" w:rsidRPr="00000000">
        <w:rPr>
          <w:rFonts w:ascii="Google Sans Text" w:cs="Google Sans Text" w:eastAsia="Google Sans Text" w:hAnsi="Google Sans Text"/>
          <w:i w:val="0"/>
          <w:color w:val="1b1c1d"/>
          <w:sz w:val="24"/>
          <w:szCs w:val="24"/>
          <w:rtl w:val="0"/>
        </w:rPr>
        <w:t xml:space="preserve"> This "OMICS cascade" approach traces the flow of pathogenic information from the initial defect in the genome (the mutation), to its effects on the epigenome (DNA methylation, histone marks), the transcriptome (RNA expression), the proteome (protein levels and modifications), and the metabolome (metabolite concentrations).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p w:rsidR="00000000" w:rsidDel="00000000" w:rsidP="00000000" w:rsidRDefault="00000000" w:rsidRPr="00000000" w14:paraId="0000012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Applying multi-omics technologies to patient-derived cells, iPSCs, and organoid models is a powerful strategy for identifying robust disease biomarkers, uncovering novel disease-modifying pathways that were not previously implicated, and pinpointing the most critical downstream nodes that could serve as precise targets for therapeutic intervention.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This integrated view is essential for moving beyond a one-gene-at-a-time perspective to a network-level understanding of disease.</w:t>
      </w:r>
    </w:p>
    <w:p w:rsidR="00000000" w:rsidDel="00000000" w:rsidP="00000000" w:rsidRDefault="00000000" w:rsidRPr="00000000" w14:paraId="0000012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2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6.5. Unanswered Questions and Critical Future Directions</w:t>
      </w:r>
    </w:p>
    <w:p w:rsidR="00000000" w:rsidDel="00000000" w:rsidP="00000000" w:rsidRDefault="00000000" w:rsidRPr="00000000" w14:paraId="0000012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Despite rapid progress, the field of chromatinopathies is still young, and many fundamental questions remain unanswered. Addressing these questions will define the major research directions for the coming decade.</w:t>
      </w:r>
    </w:p>
    <w:p w:rsidR="00000000" w:rsidDel="00000000" w:rsidP="00000000" w:rsidRDefault="00000000" w:rsidRPr="00000000" w14:paraId="0000012D">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Genotype-Phenotype Complexity</w:t>
      </w:r>
      <w:r w:rsidDel="00000000" w:rsidR="00000000" w:rsidRPr="00000000">
        <w:rPr>
          <w:rFonts w:ascii="Google Sans Text" w:cs="Google Sans Text" w:eastAsia="Google Sans Text" w:hAnsi="Google Sans Text"/>
          <w:i w:val="0"/>
          <w:color w:val="1b1c1d"/>
          <w:sz w:val="24"/>
          <w:szCs w:val="24"/>
          <w:rtl w:val="0"/>
        </w:rPr>
        <w:t xml:space="preserve">: Why does the same mutation often lead to vastly different clinical severities in different individuals? Conversely, why do different mutations in the same gene sometimes cause distinct phenotypes? The roles of the background genetic context (genetic modifiers) and environmental influences remain largely unexplored.</w:t>
      </w:r>
    </w:p>
    <w:p w:rsidR="00000000" w:rsidDel="00000000" w:rsidP="00000000" w:rsidRDefault="00000000" w:rsidRPr="00000000" w14:paraId="0000012E">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Tissue Specificity</w:t>
      </w:r>
      <w:r w:rsidDel="00000000" w:rsidR="00000000" w:rsidRPr="00000000">
        <w:rPr>
          <w:rFonts w:ascii="Google Sans Text" w:cs="Google Sans Text" w:eastAsia="Google Sans Text" w:hAnsi="Google Sans Text"/>
          <w:i w:val="0"/>
          <w:color w:val="1b1c1d"/>
          <w:sz w:val="24"/>
          <w:szCs w:val="24"/>
          <w:rtl w:val="0"/>
        </w:rPr>
        <w:t xml:space="preserve">: The causative genes in chromatinopathies are typically ubiquitously expressed, yet the clinical phenotypes are often heavily skewed towards specific organ systems, particularly the central nervous system. Why is the developing brain so uniquely vulnerable to the disruption of this general cellular machinery?</w:t>
      </w:r>
    </w:p>
    <w:p w:rsidR="00000000" w:rsidDel="00000000" w:rsidP="00000000" w:rsidRDefault="00000000" w:rsidRPr="00000000" w14:paraId="0000012F">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The Therapeutic Window</w:t>
      </w:r>
      <w:r w:rsidDel="00000000" w:rsidR="00000000" w:rsidRPr="00000000">
        <w:rPr>
          <w:rFonts w:ascii="Google Sans Text" w:cs="Google Sans Text" w:eastAsia="Google Sans Text" w:hAnsi="Google Sans Text"/>
          <w:i w:val="0"/>
          <w:color w:val="1b1c1d"/>
          <w:sz w:val="24"/>
          <w:szCs w:val="24"/>
          <w:rtl w:val="0"/>
        </w:rPr>
        <w:t xml:space="preserve">: For any potential therapy, timing is critical. What is the precise developmental window for intervention? Can significant developmental damage that occurs prenatally be meaningfully reversed in postnatal life, or can therapies only hope to halt further progression and manage symptoms?</w:t>
      </w:r>
    </w:p>
    <w:p w:rsidR="00000000" w:rsidDel="00000000" w:rsidP="00000000" w:rsidRDefault="00000000" w:rsidRPr="00000000" w14:paraId="00000130">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Long-Term Efficacy and Safety</w:t>
      </w:r>
      <w:r w:rsidDel="00000000" w:rsidR="00000000" w:rsidRPr="00000000">
        <w:rPr>
          <w:rFonts w:ascii="Google Sans Text" w:cs="Google Sans Text" w:eastAsia="Google Sans Text" w:hAnsi="Google Sans Text"/>
          <w:i w:val="0"/>
          <w:color w:val="1b1c1d"/>
          <w:sz w:val="24"/>
          <w:szCs w:val="24"/>
          <w:rtl w:val="0"/>
        </w:rPr>
        <w:t xml:space="preserve">: As novel therapies like epigenetic editing move closer to the clinic, critical questions about their long-term effects will need to be answered. Can stable, long-term correction of gene expression be achieved? What are the risks of unforeseen, long-term consequences of altering the epigenome?</w:t>
      </w:r>
    </w:p>
    <w:p w:rsidR="00000000" w:rsidDel="00000000" w:rsidP="00000000" w:rsidRDefault="00000000" w:rsidRPr="00000000" w14:paraId="00000131">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The "Undiagnosed" Population</w:t>
      </w:r>
      <w:r w:rsidDel="00000000" w:rsidR="00000000" w:rsidRPr="00000000">
        <w:rPr>
          <w:rFonts w:ascii="Google Sans Text" w:cs="Google Sans Text" w:eastAsia="Google Sans Text" w:hAnsi="Google Sans Text"/>
          <w:i w:val="0"/>
          <w:color w:val="1b1c1d"/>
          <w:sz w:val="24"/>
          <w:szCs w:val="24"/>
          <w:rtl w:val="0"/>
        </w:rPr>
        <w:t xml:space="preserve">: Even with the power of WES, a large proportion of individuals with suspected genetic disorders remain without a molecular diagnosis. Future efforts must focus on this population, leveraging re-analysis of existing genomic data, implementing WGS to capture non-coding and structural variants, and applying functional assays like episignature analysis to uncover the novel genetic causes of disease.</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p>
    <w:p w:rsidR="00000000" w:rsidDel="00000000" w:rsidP="00000000" w:rsidRDefault="00000000" w:rsidRPr="00000000" w14:paraId="00000132">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future of chromatinopathy research and the path toward effective treatments will likely lie at the powerful intersection of three key technological pillars: </w:t>
      </w:r>
      <w:r w:rsidDel="00000000" w:rsidR="00000000" w:rsidRPr="00000000">
        <w:rPr>
          <w:rFonts w:ascii="Google Sans Text" w:cs="Google Sans Text" w:eastAsia="Google Sans Text" w:hAnsi="Google Sans Text"/>
          <w:b w:val="1"/>
          <w:i w:val="0"/>
          <w:color w:val="1b1c1d"/>
          <w:sz w:val="24"/>
          <w:szCs w:val="24"/>
          <w:rtl w:val="0"/>
        </w:rPr>
        <w:t xml:space="preserve">Advanced Disease Modeling</w:t>
      </w:r>
      <w:r w:rsidDel="00000000" w:rsidR="00000000" w:rsidRPr="00000000">
        <w:rPr>
          <w:rFonts w:ascii="Google Sans Text" w:cs="Google Sans Text" w:eastAsia="Google Sans Text" w:hAnsi="Google Sans Text"/>
          <w:i w:val="0"/>
          <w:color w:val="1b1c1d"/>
          <w:sz w:val="24"/>
          <w:szCs w:val="24"/>
          <w:rtl w:val="0"/>
        </w:rPr>
        <w:t xml:space="preserve"> using patient-derived organoids, </w:t>
      </w:r>
      <w:r w:rsidDel="00000000" w:rsidR="00000000" w:rsidRPr="00000000">
        <w:rPr>
          <w:rFonts w:ascii="Google Sans Text" w:cs="Google Sans Text" w:eastAsia="Google Sans Text" w:hAnsi="Google Sans Text"/>
          <w:b w:val="1"/>
          <w:i w:val="0"/>
          <w:color w:val="1b1c1d"/>
          <w:sz w:val="24"/>
          <w:szCs w:val="24"/>
          <w:rtl w:val="0"/>
        </w:rPr>
        <w:t xml:space="preserve">Multi-Omics Analysis</w:t>
      </w:r>
      <w:r w:rsidDel="00000000" w:rsidR="00000000" w:rsidRPr="00000000">
        <w:rPr>
          <w:rFonts w:ascii="Google Sans Text" w:cs="Google Sans Text" w:eastAsia="Google Sans Text" w:hAnsi="Google Sans Text"/>
          <w:i w:val="0"/>
          <w:color w:val="1b1c1d"/>
          <w:sz w:val="24"/>
          <w:szCs w:val="24"/>
          <w:rtl w:val="0"/>
        </w:rPr>
        <w:t xml:space="preserve"> to provide a systems-level view of pathogenesis, and </w:t>
      </w:r>
      <w:r w:rsidDel="00000000" w:rsidR="00000000" w:rsidRPr="00000000">
        <w:rPr>
          <w:rFonts w:ascii="Google Sans Text" w:cs="Google Sans Text" w:eastAsia="Google Sans Text" w:hAnsi="Google Sans Text"/>
          <w:b w:val="1"/>
          <w:i w:val="0"/>
          <w:color w:val="1b1c1d"/>
          <w:sz w:val="24"/>
          <w:szCs w:val="24"/>
          <w:rtl w:val="0"/>
        </w:rPr>
        <w:t xml:space="preserve">Precision Therapeutic Tools</w:t>
      </w:r>
      <w:r w:rsidDel="00000000" w:rsidR="00000000" w:rsidRPr="00000000">
        <w:rPr>
          <w:rFonts w:ascii="Google Sans Text" w:cs="Google Sans Text" w:eastAsia="Google Sans Text" w:hAnsi="Google Sans Text"/>
          <w:i w:val="0"/>
          <w:color w:val="1b1c1d"/>
          <w:sz w:val="24"/>
          <w:szCs w:val="24"/>
          <w:rtl w:val="0"/>
        </w:rPr>
        <w:t xml:space="preserve"> like epigenetic editing. A future workflow can be envisioned where iPSCs from a patient are used to generate disease-relevant organoids. Multi-omics analysis of these organoids would identify the key downstream pathways that are disrupted. A library of epigenetic editors or small molecules could then be tested on the organoids to identify compounds that rescue the cellular and molecular phenotypes, providing a direct, patient-specific preclinical pipeline to accelerate the development of targeted therapies.</w:t>
      </w:r>
    </w:p>
    <w:p w:rsidR="00000000" w:rsidDel="00000000" w:rsidP="00000000" w:rsidRDefault="00000000" w:rsidRPr="00000000" w14:paraId="0000013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Table 4: Advanced Models and Technologies in Chromatinopathy Research</w:t>
      </w:r>
    </w:p>
    <w:p w:rsidR="00000000" w:rsidDel="00000000" w:rsidP="00000000" w:rsidRDefault="00000000" w:rsidRPr="00000000" w14:paraId="0000013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4"/>
          <w:szCs w:val="24"/>
        </w:rPr>
      </w:pPr>
      <w:r w:rsidDel="00000000" w:rsidR="00000000" w:rsidRPr="00000000">
        <w:rPr>
          <w:rtl w:val="0"/>
        </w:rPr>
      </w:r>
    </w:p>
    <w:tbl>
      <w:tblPr>
        <w:tblStyle w:val="Table4"/>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Technology / Model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Principle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Application in Chromatinopathy Research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Key Advantages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Current Limitations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Animal Models</w:t>
            </w:r>
            <w:r w:rsidDel="00000000" w:rsidR="00000000" w:rsidRPr="00000000">
              <w:rPr>
                <w:rFonts w:ascii="Google Sans Text" w:cs="Google Sans Text" w:eastAsia="Google Sans Text" w:hAnsi="Google Sans Text"/>
                <w:i w:val="0"/>
                <w:color w:val="1b1c1d"/>
                <w:sz w:val="20"/>
                <w:szCs w:val="20"/>
                <w:shd w:fill="auto" w:val="clear"/>
                <w:rtl w:val="0"/>
              </w:rPr>
              <w:t xml:space="preserve"> (Mouse, Zebrafish, Fly)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Genetic modification (e.g., CRISPR/Cas9) to create organisms with specific gene mutations that mimic human disease.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In vivo</w:t>
            </w:r>
            <w:r w:rsidDel="00000000" w:rsidR="00000000" w:rsidRPr="00000000">
              <w:rPr>
                <w:rFonts w:ascii="Google Sans Text" w:cs="Google Sans Text" w:eastAsia="Google Sans Text" w:hAnsi="Google Sans Text"/>
                <w:i w:val="0"/>
                <w:color w:val="1b1c1d"/>
                <w:sz w:val="20"/>
                <w:szCs w:val="20"/>
                <w:shd w:fill="auto" w:val="clear"/>
                <w:rtl w:val="0"/>
              </w:rPr>
              <w:t xml:space="preserve"> study of developmental processes, validation of pathogenic variants, preclinical testing of drug safety and efficacy.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Allows for study of whole-organism physiology and complex behaviors, well-established genetic tools.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Poor conservation of some human-specific developmental processes (esp. neurodevelopment), long generation times (mouse), lower throughput.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Cerebral Organoids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Directed differentiation of patient-derived iPSCs into 3D, self-organizing structures that recapitulate aspects of human brain development.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Modeling human-specific neurodevelopment, dissecting cellular mechanisms of disease (e.g., migration, differentiation), high-throughput drug screening.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Provides access to human neural tissue, preserves patient-specific genetic background, allows for mechanistic studies not possible </w:t>
            </w:r>
            <w:r w:rsidDel="00000000" w:rsidR="00000000" w:rsidRPr="00000000">
              <w:rPr>
                <w:rFonts w:ascii="Google Sans Text" w:cs="Google Sans Text" w:eastAsia="Google Sans Text" w:hAnsi="Google Sans Text"/>
                <w:i w:val="1"/>
                <w:color w:val="1b1c1d"/>
                <w:sz w:val="20"/>
                <w:szCs w:val="20"/>
                <w:shd w:fill="auto" w:val="clear"/>
                <w:rtl w:val="0"/>
              </w:rPr>
              <w:t xml:space="preserve">in vivo</w:t>
            </w: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Lack of vascularization, cellular stress, incomplete maturation, batch-to-batch variability, absence of non-neural cell types and circuits.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Multi-Omics Analysis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Integrated analysis of data from multiple molecular layers (genomics, epigenomics, transcriptomics, proteomics, metabolomics).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Creating a systems-level map of pathogenesis, identifying novel biomarkers, discovering downstream pathways for therapeutic targeting.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Provides a holistic, unbiased view of cellular dysfunction, can uncover unexpected molecular connections.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Computationally intensive, requires large datasets, integration of different data types is complex, can be expensive.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Epigenetic Editing</w:t>
            </w:r>
            <w:r w:rsidDel="00000000" w:rsidR="00000000" w:rsidRPr="00000000">
              <w:rPr>
                <w:rFonts w:ascii="Google Sans Text" w:cs="Google Sans Text" w:eastAsia="Google Sans Text" w:hAnsi="Google Sans Text"/>
                <w:i w:val="0"/>
                <w:color w:val="1b1c1d"/>
                <w:sz w:val="20"/>
                <w:szCs w:val="20"/>
                <w:shd w:fill="auto" w:val="clear"/>
                <w:rtl w:val="0"/>
              </w:rPr>
              <w:t xml:space="preserve"> (CRISPR-dCas9)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Use of a nuclease-dead Cas9 fused to an epigenetic effector domain to rewrite epigenetic marks at specific genomic loci.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Targeted modulation of gene expression to rescue haploinsufficiency, mechanistic studies of gene regulation, potential future therapeutic modality.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Highly specific, does not cause permanent DNA damage, potentially reversible and tunable.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In vivo</w:t>
            </w:r>
            <w:r w:rsidDel="00000000" w:rsidR="00000000" w:rsidRPr="00000000">
              <w:rPr>
                <w:rFonts w:ascii="Google Sans Text" w:cs="Google Sans Text" w:eastAsia="Google Sans Text" w:hAnsi="Google Sans Text"/>
                <w:i w:val="0"/>
                <w:color w:val="1b1c1d"/>
                <w:sz w:val="20"/>
                <w:szCs w:val="20"/>
                <w:shd w:fill="auto" w:val="clear"/>
                <w:rtl w:val="0"/>
              </w:rPr>
              <w:t xml:space="preserve"> delivery to target tissues (esp. brain) is a major challenge, long-term stability and off-target epigenetic effects are unknown.</w:t>
            </w:r>
          </w:p>
        </w:tc>
      </w:tr>
    </w:tbl>
    <w:p w:rsidR="00000000" w:rsidDel="00000000" w:rsidP="00000000" w:rsidRDefault="00000000" w:rsidRPr="00000000" w14:paraId="0000014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p w:rsidR="00000000" w:rsidDel="00000000" w:rsidP="00000000" w:rsidRDefault="00000000" w:rsidRPr="00000000" w14:paraId="0000014F">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VII. Conclusion</w:t>
      </w:r>
    </w:p>
    <w:p w:rsidR="00000000" w:rsidDel="00000000" w:rsidP="00000000" w:rsidRDefault="00000000" w:rsidRPr="00000000" w14:paraId="0000015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field of chromatinopathies has emerged from the study of a few rare syndromes to become a major domain of human genetics, encompassing a vast and growing number of developmental disorders unified by a common mechanistic foundation. The journey from phenotype-driven classification to a molecular framework based on the function of epigenes reflects a profound shift in our understanding, powered by revolutionary genomic technologies. This critical review has traced this evolution, highlighting several key themes that define the current state and future trajectory of the field.</w:t>
      </w:r>
    </w:p>
    <w:p w:rsidR="00000000" w:rsidDel="00000000" w:rsidP="00000000" w:rsidRDefault="00000000" w:rsidRPr="00000000" w14:paraId="0000015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First, the principle of </w:t>
      </w:r>
      <w:r w:rsidDel="00000000" w:rsidR="00000000" w:rsidRPr="00000000">
        <w:rPr>
          <w:rFonts w:ascii="Google Sans Text" w:cs="Google Sans Text" w:eastAsia="Google Sans Text" w:hAnsi="Google Sans Text"/>
          <w:b w:val="1"/>
          <w:i w:val="0"/>
          <w:color w:val="1b1c1d"/>
          <w:sz w:val="24"/>
          <w:szCs w:val="24"/>
          <w:rtl w:val="0"/>
        </w:rPr>
        <w:t xml:space="preserve">convergent pathogenesis</w:t>
      </w:r>
      <w:r w:rsidDel="00000000" w:rsidR="00000000" w:rsidRPr="00000000">
        <w:rPr>
          <w:rFonts w:ascii="Google Sans Text" w:cs="Google Sans Text" w:eastAsia="Google Sans Text" w:hAnsi="Google Sans Text"/>
          <w:i w:val="0"/>
          <w:color w:val="1b1c1d"/>
          <w:sz w:val="24"/>
          <w:szCs w:val="24"/>
          <w:rtl w:val="0"/>
        </w:rPr>
        <w:t xml:space="preserve"> is paramount. The extensive overlap in clinical features across disparate syndromes underscores that the epigenetic machinery functions as a highly integrated network. Disruption at different nodes can propagate through the network to affect common downstream developmental pathways, leading to a shared spectrum of outcomes, with neurodevelopmental and growth abnormalities being the most prominent. This network-based view is supplanting the traditional "one gene, one syndrome" model, pushing the field towards a more holistic, pathway-centric approach to both research and clinical thinking.</w:t>
      </w:r>
    </w:p>
    <w:p w:rsidR="00000000" w:rsidDel="00000000" w:rsidP="00000000" w:rsidRDefault="00000000" w:rsidRPr="00000000" w14:paraId="0000015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Second, the </w:t>
      </w:r>
      <w:r w:rsidDel="00000000" w:rsidR="00000000" w:rsidRPr="00000000">
        <w:rPr>
          <w:rFonts w:ascii="Google Sans Text" w:cs="Google Sans Text" w:eastAsia="Google Sans Text" w:hAnsi="Google Sans Text"/>
          <w:b w:val="1"/>
          <w:i w:val="0"/>
          <w:color w:val="1b1c1d"/>
          <w:sz w:val="24"/>
          <w:szCs w:val="24"/>
          <w:rtl w:val="0"/>
        </w:rPr>
        <w:t xml:space="preserve">duality of epigenes in development and cancer</w:t>
      </w:r>
      <w:r w:rsidDel="00000000" w:rsidR="00000000" w:rsidRPr="00000000">
        <w:rPr>
          <w:rFonts w:ascii="Google Sans Text" w:cs="Google Sans Text" w:eastAsia="Google Sans Text" w:hAnsi="Google Sans Text"/>
          <w:i w:val="0"/>
          <w:color w:val="1b1c1d"/>
          <w:sz w:val="24"/>
          <w:szCs w:val="24"/>
          <w:rtl w:val="0"/>
        </w:rPr>
        <w:t xml:space="preserve"> provides a fundamental insight into biology. The same molecular machinery that guides normal cell fate is a primary target for somatic mutation in cancer, revealing that oncogenesis is, in many ways, a pathological recapitulation of developmental processes. This link creates a powerful synergy, where insights and therapeutic tools from oncology can potentially be leveraged to benefit patients with rare congenital chromatinopathies.</w:t>
      </w:r>
    </w:p>
    <w:p w:rsidR="00000000" w:rsidDel="00000000" w:rsidP="00000000" w:rsidRDefault="00000000" w:rsidRPr="00000000" w14:paraId="0000015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Third, the diagnostic landscape has been transformed. While NGS provided the engine for gene discovery, it also created the challenge of VUS. The development of </w:t>
      </w:r>
      <w:r w:rsidDel="00000000" w:rsidR="00000000" w:rsidRPr="00000000">
        <w:rPr>
          <w:rFonts w:ascii="Google Sans Text" w:cs="Google Sans Text" w:eastAsia="Google Sans Text" w:hAnsi="Google Sans Text"/>
          <w:b w:val="1"/>
          <w:i w:val="0"/>
          <w:color w:val="1b1c1d"/>
          <w:sz w:val="24"/>
          <w:szCs w:val="24"/>
          <w:rtl w:val="0"/>
        </w:rPr>
        <w:t xml:space="preserve">DNA methylation episignatures</w:t>
      </w:r>
      <w:r w:rsidDel="00000000" w:rsidR="00000000" w:rsidRPr="00000000">
        <w:rPr>
          <w:rFonts w:ascii="Google Sans Text" w:cs="Google Sans Text" w:eastAsia="Google Sans Text" w:hAnsi="Google Sans Text"/>
          <w:i w:val="0"/>
          <w:color w:val="1b1c1d"/>
          <w:sz w:val="24"/>
          <w:szCs w:val="24"/>
          <w:rtl w:val="0"/>
        </w:rPr>
        <w:t xml:space="preserve"> as a functional biomarker represents a paradigm shift, providing a direct readout of a variant's molecular consequence and bridging the gap between genotype and phenotype. This technology is bringing diagnostic closure to families and refining our understanding of the molecular boundaries between syndromes.</w:t>
      </w:r>
    </w:p>
    <w:p w:rsidR="00000000" w:rsidDel="00000000" w:rsidP="00000000" w:rsidRDefault="00000000" w:rsidRPr="00000000" w14:paraId="00000155">
      <w:pPr>
        <w:pBdr>
          <w:top w:space="0" w:sz="0" w:val="nil"/>
          <w:left w:space="0" w:sz="0" w:val="nil"/>
          <w:bottom w:space="0" w:sz="0" w:val="nil"/>
          <w:right w:space="0" w:sz="0" w:val="nil"/>
          <w:between w:space="0" w:sz="0" w:val="nil"/>
        </w:pBdr>
        <w:shd w:fill="auto" w:val="clear"/>
        <w:spacing w:after="255"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Finally, while the therapeutic landscape remains challenging, the horizon is bright. The future of chromatinopathy research lies at the intersection of </w:t>
      </w:r>
      <w:r w:rsidDel="00000000" w:rsidR="00000000" w:rsidRPr="00000000">
        <w:rPr>
          <w:rFonts w:ascii="Google Sans Text" w:cs="Google Sans Text" w:eastAsia="Google Sans Text" w:hAnsi="Google Sans Text"/>
          <w:b w:val="1"/>
          <w:i w:val="0"/>
          <w:color w:val="1b1c1d"/>
          <w:sz w:val="24"/>
          <w:szCs w:val="24"/>
          <w:rtl w:val="0"/>
        </w:rPr>
        <w:t xml:space="preserve">advanced disease models like patient-derived organoids, systems-level multi-omics analysis, and precision therapeutic tools such as epigenetic editing</w:t>
      </w:r>
      <w:r w:rsidDel="00000000" w:rsidR="00000000" w:rsidRPr="00000000">
        <w:rPr>
          <w:rFonts w:ascii="Google Sans Text" w:cs="Google Sans Text" w:eastAsia="Google Sans Text" w:hAnsi="Google Sans Text"/>
          <w:i w:val="0"/>
          <w:color w:val="1b1c1d"/>
          <w:sz w:val="24"/>
          <w:szCs w:val="24"/>
          <w:rtl w:val="0"/>
        </w:rPr>
        <w:t xml:space="preserve">. This integrated approach holds the promise of moving beyond symptomatic management towards the development of targeted, disease-modifying therapies. Answering the critical remaining questions regarding therapeutic windows, tissue specificity, and long-term safety will require a concerted and collaborative effort from basic scientists, clinicians, and patient communities. The continued exploration of this complex and fascinating class of disorders will not only improve the lives of those affected but will also continue to yield fundamental insights into the epigenetic principles that govern human development and disease.</w:t>
      </w:r>
    </w:p>
    <w:p w:rsidR="00000000" w:rsidDel="00000000" w:rsidP="00000000" w:rsidRDefault="00000000" w:rsidRPr="00000000" w14:paraId="00000156">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157">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Chromatinopathies: insight in clinical aspects and underlying ..., accessed June 26, 2025, </w:t>
      </w:r>
      <w:hyperlink r:id="rId6">
        <w:r w:rsidDel="00000000" w:rsidR="00000000" w:rsidRPr="00000000">
          <w:rPr>
            <w:rFonts w:ascii="Google Sans" w:cs="Google Sans" w:eastAsia="Google Sans" w:hAnsi="Google Sans"/>
            <w:color w:val="0000ee"/>
            <w:sz w:val="24"/>
            <w:szCs w:val="24"/>
            <w:u w:val="single"/>
            <w:rtl w:val="0"/>
          </w:rPr>
          <w:t xml:space="preserve">https://pmc.ncbi.nlm.nih.gov/articles/PMC11003913/</w:t>
        </w:r>
      </w:hyperlink>
      <w:r w:rsidDel="00000000" w:rsidR="00000000" w:rsidRPr="00000000">
        <w:rPr>
          <w:rtl w:val="0"/>
        </w:rPr>
      </w:r>
    </w:p>
    <w:p w:rsidR="00000000" w:rsidDel="00000000" w:rsidP="00000000" w:rsidRDefault="00000000" w:rsidRPr="00000000" w14:paraId="00000158">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Chromatinopathies: insight in clinical aspects and underlying epigenetic changes, accessed June 26, 2025, </w:t>
      </w:r>
      <w:hyperlink r:id="rId7">
        <w:r w:rsidDel="00000000" w:rsidR="00000000" w:rsidRPr="00000000">
          <w:rPr>
            <w:rFonts w:ascii="Google Sans" w:cs="Google Sans" w:eastAsia="Google Sans" w:hAnsi="Google Sans"/>
            <w:color w:val="0000ee"/>
            <w:sz w:val="24"/>
            <w:szCs w:val="24"/>
            <w:u w:val="single"/>
            <w:rtl w:val="0"/>
          </w:rPr>
          <w:t xml:space="preserve">https://www.researchgate.net/publication/377159021_Chromatinopathies_insight_in_clinical_aspects_and_underlying_epigenetic_changes</w:t>
        </w:r>
      </w:hyperlink>
      <w:r w:rsidDel="00000000" w:rsidR="00000000" w:rsidRPr="00000000">
        <w:rPr>
          <w:rtl w:val="0"/>
        </w:rPr>
      </w:r>
    </w:p>
    <w:p w:rsidR="00000000" w:rsidDel="00000000" w:rsidP="00000000" w:rsidRDefault="00000000" w:rsidRPr="00000000" w14:paraId="00000159">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disorders: Lessons from the animals–animal ... - Frontiers, accessed June 26, 2025, </w:t>
      </w:r>
      <w:hyperlink r:id="rId8">
        <w:r w:rsidDel="00000000" w:rsidR="00000000" w:rsidRPr="00000000">
          <w:rPr>
            <w:rFonts w:ascii="Google Sans" w:cs="Google Sans" w:eastAsia="Google Sans" w:hAnsi="Google Sans"/>
            <w:color w:val="0000ee"/>
            <w:sz w:val="24"/>
            <w:szCs w:val="24"/>
            <w:u w:val="single"/>
            <w:rtl w:val="0"/>
          </w:rPr>
          <w:t xml:space="preserve">https://www.frontiersin.org/journals/cell-and-developmental-biology/articles/10.3389/fcell.2022.979512/full</w:t>
        </w:r>
      </w:hyperlink>
      <w:r w:rsidDel="00000000" w:rsidR="00000000" w:rsidRPr="00000000">
        <w:rPr>
          <w:rtl w:val="0"/>
        </w:rPr>
      </w:r>
    </w:p>
    <w:p w:rsidR="00000000" w:rsidDel="00000000" w:rsidP="00000000" w:rsidRDefault="00000000" w:rsidRPr="00000000" w14:paraId="0000015A">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Pattern Recognition of Common Multiple Congenital Malformation ..., accessed June 26, 2025, </w:t>
      </w:r>
      <w:hyperlink r:id="rId9">
        <w:r w:rsidDel="00000000" w:rsidR="00000000" w:rsidRPr="00000000">
          <w:rPr>
            <w:rFonts w:ascii="Google Sans" w:cs="Google Sans" w:eastAsia="Google Sans" w:hAnsi="Google Sans"/>
            <w:color w:val="0000ee"/>
            <w:sz w:val="24"/>
            <w:szCs w:val="24"/>
            <w:u w:val="single"/>
            <w:rtl w:val="0"/>
          </w:rPr>
          <w:t xml:space="preserve">https://pmc.ncbi.nlm.nih.gov/articles/PMC10984715/</w:t>
        </w:r>
      </w:hyperlink>
      <w:r w:rsidDel="00000000" w:rsidR="00000000" w:rsidRPr="00000000">
        <w:rPr>
          <w:rtl w:val="0"/>
        </w:rPr>
      </w:r>
    </w:p>
    <w:p w:rsidR="00000000" w:rsidDel="00000000" w:rsidP="00000000" w:rsidRDefault="00000000" w:rsidRPr="00000000" w14:paraId="0000015B">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disorders: Lessons from the animals–animal models in chromatinopathies - PMC, accessed June 26, 2025, </w:t>
      </w:r>
      <w:hyperlink r:id="rId10">
        <w:r w:rsidDel="00000000" w:rsidR="00000000" w:rsidRPr="00000000">
          <w:rPr>
            <w:rFonts w:ascii="Google Sans" w:cs="Google Sans" w:eastAsia="Google Sans" w:hAnsi="Google Sans"/>
            <w:color w:val="0000ee"/>
            <w:sz w:val="24"/>
            <w:szCs w:val="24"/>
            <w:u w:val="single"/>
            <w:rtl w:val="0"/>
          </w:rPr>
          <w:t xml:space="preserve">https://pmc.ncbi.nlm.nih.gov/articles/PMC9548571/</w:t>
        </w:r>
      </w:hyperlink>
      <w:r w:rsidDel="00000000" w:rsidR="00000000" w:rsidRPr="00000000">
        <w:rPr>
          <w:rtl w:val="0"/>
        </w:rPr>
      </w:r>
    </w:p>
    <w:p w:rsidR="00000000" w:rsidDel="00000000" w:rsidP="00000000" w:rsidRDefault="00000000" w:rsidRPr="00000000" w14:paraId="0000015C">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DNA methylation signatures for chromatinopathies: current challenges and future applications - ResearchGate, accessed June 26, 2025, </w:t>
      </w:r>
      <w:hyperlink r:id="rId11">
        <w:r w:rsidDel="00000000" w:rsidR="00000000" w:rsidRPr="00000000">
          <w:rPr>
            <w:rFonts w:ascii="Google Sans" w:cs="Google Sans" w:eastAsia="Google Sans" w:hAnsi="Google Sans"/>
            <w:color w:val="0000ee"/>
            <w:sz w:val="24"/>
            <w:szCs w:val="24"/>
            <w:u w:val="single"/>
            <w:rtl w:val="0"/>
          </w:rPr>
          <w:t xml:space="preserve">https://www.researchgate.net/publication/369856871_DNA_methylation_signatures_for_chromatinopathies_current_challenges_and_future_applications</w:t>
        </w:r>
      </w:hyperlink>
      <w:r w:rsidDel="00000000" w:rsidR="00000000" w:rsidRPr="00000000">
        <w:rPr>
          <w:rtl w:val="0"/>
        </w:rPr>
      </w:r>
    </w:p>
    <w:p w:rsidR="00000000" w:rsidDel="00000000" w:rsidP="00000000" w:rsidRDefault="00000000" w:rsidRPr="00000000" w14:paraId="0000015D">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DNA methylation signatures for chromatinopathies: current challenges and future applications - PMC, accessed June 26, 2025, </w:t>
      </w:r>
      <w:hyperlink r:id="rId12">
        <w:r w:rsidDel="00000000" w:rsidR="00000000" w:rsidRPr="00000000">
          <w:rPr>
            <w:rFonts w:ascii="Google Sans" w:cs="Google Sans" w:eastAsia="Google Sans" w:hAnsi="Google Sans"/>
            <w:color w:val="0000ee"/>
            <w:sz w:val="24"/>
            <w:szCs w:val="24"/>
            <w:u w:val="single"/>
            <w:rtl w:val="0"/>
          </w:rPr>
          <w:t xml:space="preserve">https://pmc.ncbi.nlm.nih.gov/articles/PMC11078831/</w:t>
        </w:r>
      </w:hyperlink>
      <w:r w:rsidDel="00000000" w:rsidR="00000000" w:rsidRPr="00000000">
        <w:rPr>
          <w:rtl w:val="0"/>
        </w:rPr>
      </w:r>
    </w:p>
    <w:p w:rsidR="00000000" w:rsidDel="00000000" w:rsidP="00000000" w:rsidRDefault="00000000" w:rsidRPr="00000000" w14:paraId="0000015E">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Chromatinopathies – from discovery to clinical diagnosis in the real world - ResearchGate, accessed June 26, 2025, </w:t>
      </w:r>
      <w:hyperlink r:id="rId13">
        <w:r w:rsidDel="00000000" w:rsidR="00000000" w:rsidRPr="00000000">
          <w:rPr>
            <w:rFonts w:ascii="Google Sans" w:cs="Google Sans" w:eastAsia="Google Sans" w:hAnsi="Google Sans"/>
            <w:color w:val="0000ee"/>
            <w:sz w:val="24"/>
            <w:szCs w:val="24"/>
            <w:u w:val="single"/>
            <w:rtl w:val="0"/>
          </w:rPr>
          <w:t xml:space="preserve">https://www.researchgate.net/publication/380126723_Chromatinopathies_-_from_discovery_to_clinical_diagnosis_in_the_real_world</w:t>
        </w:r>
      </w:hyperlink>
      <w:r w:rsidDel="00000000" w:rsidR="00000000" w:rsidRPr="00000000">
        <w:rPr>
          <w:rtl w:val="0"/>
        </w:rPr>
      </w:r>
    </w:p>
    <w:p w:rsidR="00000000" w:rsidDel="00000000" w:rsidP="00000000" w:rsidRDefault="00000000" w:rsidRPr="00000000" w14:paraId="0000015F">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omics era: a nexus of untapped potential for Mendelian ..., accessed June 26, 2025, </w:t>
      </w:r>
      <w:hyperlink r:id="rId14">
        <w:r w:rsidDel="00000000" w:rsidR="00000000" w:rsidRPr="00000000">
          <w:rPr>
            <w:rFonts w:ascii="Google Sans" w:cs="Google Sans" w:eastAsia="Google Sans" w:hAnsi="Google Sans"/>
            <w:color w:val="0000ee"/>
            <w:sz w:val="24"/>
            <w:szCs w:val="24"/>
            <w:u w:val="single"/>
            <w:rtl w:val="0"/>
          </w:rPr>
          <w:t xml:space="preserve">https://pmc.ncbi.nlm.nih.gov/articles/PMC11078811/</w:t>
        </w:r>
      </w:hyperlink>
      <w:r w:rsidDel="00000000" w:rsidR="00000000" w:rsidRPr="00000000">
        <w:rPr>
          <w:rtl w:val="0"/>
        </w:rPr>
      </w:r>
    </w:p>
    <w:p w:rsidR="00000000" w:rsidDel="00000000" w:rsidP="00000000" w:rsidRDefault="00000000" w:rsidRPr="00000000" w14:paraId="00000160">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Kabuki syndrome - Genetics - MedlinePlus, accessed June 26, 2025, </w:t>
      </w:r>
      <w:hyperlink r:id="rId15">
        <w:r w:rsidDel="00000000" w:rsidR="00000000" w:rsidRPr="00000000">
          <w:rPr>
            <w:rFonts w:ascii="Google Sans" w:cs="Google Sans" w:eastAsia="Google Sans" w:hAnsi="Google Sans"/>
            <w:color w:val="0000ee"/>
            <w:sz w:val="24"/>
            <w:szCs w:val="24"/>
            <w:u w:val="single"/>
            <w:rtl w:val="0"/>
          </w:rPr>
          <w:t xml:space="preserve">https://medlineplus.gov/genetics/condition/kabuki-syndrome/</w:t>
        </w:r>
      </w:hyperlink>
      <w:r w:rsidDel="00000000" w:rsidR="00000000" w:rsidRPr="00000000">
        <w:rPr>
          <w:rtl w:val="0"/>
        </w:rPr>
      </w:r>
    </w:p>
    <w:p w:rsidR="00000000" w:rsidDel="00000000" w:rsidP="00000000" w:rsidRDefault="00000000" w:rsidRPr="00000000" w14:paraId="00000161">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Sophisticated Conversations between Chromatin and Chromatin Remodelers, and Dissonances in Cancer - MDPI, accessed June 26, 2025, </w:t>
      </w:r>
      <w:hyperlink r:id="rId16">
        <w:r w:rsidDel="00000000" w:rsidR="00000000" w:rsidRPr="00000000">
          <w:rPr>
            <w:rFonts w:ascii="Google Sans" w:cs="Google Sans" w:eastAsia="Google Sans" w:hAnsi="Google Sans"/>
            <w:color w:val="0000ee"/>
            <w:sz w:val="24"/>
            <w:szCs w:val="24"/>
            <w:u w:val="single"/>
            <w:rtl w:val="0"/>
          </w:rPr>
          <w:t xml:space="preserve">https://www.mdpi.com/1422-0067/22/11/5578</w:t>
        </w:r>
      </w:hyperlink>
      <w:r w:rsidDel="00000000" w:rsidR="00000000" w:rsidRPr="00000000">
        <w:rPr>
          <w:rtl w:val="0"/>
        </w:rPr>
      </w:r>
    </w:p>
    <w:p w:rsidR="00000000" w:rsidDel="00000000" w:rsidP="00000000" w:rsidRDefault="00000000" w:rsidRPr="00000000" w14:paraId="00000162">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phenomenal epigenome in neurodevelopmental disorders - PMC - PubMed Central, accessed June 26, 2025, </w:t>
      </w:r>
      <w:hyperlink r:id="rId17">
        <w:r w:rsidDel="00000000" w:rsidR="00000000" w:rsidRPr="00000000">
          <w:rPr>
            <w:rFonts w:ascii="Google Sans" w:cs="Google Sans" w:eastAsia="Google Sans" w:hAnsi="Google Sans"/>
            <w:color w:val="0000ee"/>
            <w:sz w:val="24"/>
            <w:szCs w:val="24"/>
            <w:u w:val="single"/>
            <w:rtl w:val="0"/>
          </w:rPr>
          <w:t xml:space="preserve">https://pmc.ncbi.nlm.nih.gov/articles/PMC7530535/</w:t>
        </w:r>
      </w:hyperlink>
      <w:r w:rsidDel="00000000" w:rsidR="00000000" w:rsidRPr="00000000">
        <w:rPr>
          <w:rtl w:val="0"/>
        </w:rPr>
      </w:r>
    </w:p>
    <w:p w:rsidR="00000000" w:rsidDel="00000000" w:rsidP="00000000" w:rsidRDefault="00000000" w:rsidRPr="00000000" w14:paraId="00000163">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Epigenetics in cancer - PMC - PubMed Central, accessed June 26, 2025, </w:t>
      </w:r>
      <w:hyperlink r:id="rId18">
        <w:r w:rsidDel="00000000" w:rsidR="00000000" w:rsidRPr="00000000">
          <w:rPr>
            <w:rFonts w:ascii="Google Sans" w:cs="Google Sans" w:eastAsia="Google Sans" w:hAnsi="Google Sans"/>
            <w:color w:val="0000ee"/>
            <w:sz w:val="24"/>
            <w:szCs w:val="24"/>
            <w:u w:val="single"/>
            <w:rtl w:val="0"/>
          </w:rPr>
          <w:t xml:space="preserve">https://pmc.ncbi.nlm.nih.gov/articles/PMC2802667/</w:t>
        </w:r>
      </w:hyperlink>
      <w:r w:rsidDel="00000000" w:rsidR="00000000" w:rsidRPr="00000000">
        <w:rPr>
          <w:rtl w:val="0"/>
        </w:rPr>
      </w:r>
    </w:p>
    <w:p w:rsidR="00000000" w:rsidDel="00000000" w:rsidP="00000000" w:rsidRDefault="00000000" w:rsidRPr="00000000" w14:paraId="00000164">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modifications in cancer - PMC, accessed June 26, 2025, </w:t>
      </w:r>
      <w:hyperlink r:id="rId19">
        <w:r w:rsidDel="00000000" w:rsidR="00000000" w:rsidRPr="00000000">
          <w:rPr>
            <w:rFonts w:ascii="Google Sans" w:cs="Google Sans" w:eastAsia="Google Sans" w:hAnsi="Google Sans"/>
            <w:color w:val="0000ee"/>
            <w:sz w:val="24"/>
            <w:szCs w:val="24"/>
            <w:u w:val="single"/>
            <w:rtl w:val="0"/>
          </w:rPr>
          <w:t xml:space="preserve">https://pmc.ncbi.nlm.nih.gov/articles/PMC3590802/</w:t>
        </w:r>
      </w:hyperlink>
      <w:r w:rsidDel="00000000" w:rsidR="00000000" w:rsidRPr="00000000">
        <w:rPr>
          <w:rtl w:val="0"/>
        </w:rPr>
      </w:r>
    </w:p>
    <w:p w:rsidR="00000000" w:rsidDel="00000000" w:rsidP="00000000" w:rsidRDefault="00000000" w:rsidRPr="00000000" w14:paraId="00000165">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emerging role of chromatin remodelers in neurodevelopmental disorders: a developmental perspective - PMC - PubMed Central, accessed June 26, 2025, </w:t>
      </w:r>
      <w:hyperlink r:id="rId20">
        <w:r w:rsidDel="00000000" w:rsidR="00000000" w:rsidRPr="00000000">
          <w:rPr>
            <w:rFonts w:ascii="Google Sans" w:cs="Google Sans" w:eastAsia="Google Sans" w:hAnsi="Google Sans"/>
            <w:color w:val="0000ee"/>
            <w:sz w:val="24"/>
            <w:szCs w:val="24"/>
            <w:u w:val="single"/>
            <w:rtl w:val="0"/>
          </w:rPr>
          <w:t xml:space="preserve">https://pmc.ncbi.nlm.nih.gov/articles/PMC8004494/</w:t>
        </w:r>
      </w:hyperlink>
      <w:r w:rsidDel="00000000" w:rsidR="00000000" w:rsidRPr="00000000">
        <w:rPr>
          <w:rtl w:val="0"/>
        </w:rPr>
      </w:r>
    </w:p>
    <w:p w:rsidR="00000000" w:rsidDel="00000000" w:rsidP="00000000" w:rsidRDefault="00000000" w:rsidRPr="00000000" w14:paraId="00000166">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Cornelia de Lange Syndrome as Paradigm of Chromatinopathies - Frontiers, accessed June 26, 2025, </w:t>
      </w:r>
      <w:hyperlink r:id="rId21">
        <w:r w:rsidDel="00000000" w:rsidR="00000000" w:rsidRPr="00000000">
          <w:rPr>
            <w:rFonts w:ascii="Google Sans" w:cs="Google Sans" w:eastAsia="Google Sans" w:hAnsi="Google Sans"/>
            <w:color w:val="0000ee"/>
            <w:sz w:val="24"/>
            <w:szCs w:val="24"/>
            <w:u w:val="single"/>
            <w:rtl w:val="0"/>
          </w:rPr>
          <w:t xml:space="preserve">https://www.frontiersin.org/journals/neuroscience/articles/10.3389/fnins.2021.774950/full</w:t>
        </w:r>
      </w:hyperlink>
      <w:r w:rsidDel="00000000" w:rsidR="00000000" w:rsidRPr="00000000">
        <w:rPr>
          <w:rtl w:val="0"/>
        </w:rPr>
      </w:r>
    </w:p>
    <w:p w:rsidR="00000000" w:rsidDel="00000000" w:rsidP="00000000" w:rsidRDefault="00000000" w:rsidRPr="00000000" w14:paraId="00000167">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Special Issue : Molecular and Cellular Basis of Chromatinopathies - MDPI, accessed June 26, 2025, </w:t>
      </w:r>
      <w:hyperlink r:id="rId22">
        <w:r w:rsidDel="00000000" w:rsidR="00000000" w:rsidRPr="00000000">
          <w:rPr>
            <w:rFonts w:ascii="Google Sans" w:cs="Google Sans" w:eastAsia="Google Sans" w:hAnsi="Google Sans"/>
            <w:color w:val="0000ee"/>
            <w:sz w:val="24"/>
            <w:szCs w:val="24"/>
            <w:u w:val="single"/>
            <w:rtl w:val="0"/>
          </w:rPr>
          <w:t xml:space="preserve">https://www.mdpi.com/journal/cells/special_issues/Chromatinopathies</w:t>
        </w:r>
      </w:hyperlink>
      <w:r w:rsidDel="00000000" w:rsidR="00000000" w:rsidRPr="00000000">
        <w:rPr>
          <w:rtl w:val="0"/>
        </w:rPr>
      </w:r>
    </w:p>
    <w:p w:rsidR="00000000" w:rsidDel="00000000" w:rsidP="00000000" w:rsidRDefault="00000000" w:rsidRPr="00000000" w14:paraId="00000168">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Five years of experience in the Epigenetics and Chromatin Clinic: what have we learned and where do we go from here? - PubMed Central, accessed June 26, 2025, </w:t>
      </w:r>
      <w:hyperlink r:id="rId23">
        <w:r w:rsidDel="00000000" w:rsidR="00000000" w:rsidRPr="00000000">
          <w:rPr>
            <w:rFonts w:ascii="Google Sans" w:cs="Google Sans" w:eastAsia="Google Sans" w:hAnsi="Google Sans"/>
            <w:color w:val="0000ee"/>
            <w:sz w:val="24"/>
            <w:szCs w:val="24"/>
            <w:u w:val="single"/>
            <w:rtl w:val="0"/>
          </w:rPr>
          <w:t xml:space="preserve">https://pmc.ncbi.nlm.nih.gov/articles/PMC10034257/</w:t>
        </w:r>
      </w:hyperlink>
      <w:r w:rsidDel="00000000" w:rsidR="00000000" w:rsidRPr="00000000">
        <w:rPr>
          <w:rtl w:val="0"/>
        </w:rPr>
      </w:r>
    </w:p>
    <w:p w:rsidR="00000000" w:rsidDel="00000000" w:rsidP="00000000" w:rsidRDefault="00000000" w:rsidRPr="00000000" w14:paraId="00000169">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Success and Pitfalls of Genetic Testing in Undiagnosed Diseases: Whole Exome Sequencing and Beyond - MDPI, accessed June 26, 2025, </w:t>
      </w:r>
      <w:hyperlink r:id="rId24">
        <w:r w:rsidDel="00000000" w:rsidR="00000000" w:rsidRPr="00000000">
          <w:rPr>
            <w:rFonts w:ascii="Google Sans" w:cs="Google Sans" w:eastAsia="Google Sans" w:hAnsi="Google Sans"/>
            <w:color w:val="0000ee"/>
            <w:sz w:val="24"/>
            <w:szCs w:val="24"/>
            <w:u w:val="single"/>
            <w:rtl w:val="0"/>
          </w:rPr>
          <w:t xml:space="preserve">https://www.mdpi.com/2073-4425/14/6/1241</w:t>
        </w:r>
      </w:hyperlink>
      <w:r w:rsidDel="00000000" w:rsidR="00000000" w:rsidRPr="00000000">
        <w:rPr>
          <w:rtl w:val="0"/>
        </w:rPr>
      </w:r>
    </w:p>
    <w:p w:rsidR="00000000" w:rsidDel="00000000" w:rsidP="00000000" w:rsidRDefault="00000000" w:rsidRPr="00000000" w14:paraId="0000016A">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Uncovering a Genetic Diagnosis in a Pediatric Patient by Whole Exome Sequencing: A Modeling Investigation in Wiedemann-Steiner Syndrome - PubMed, accessed June 26, 2025, </w:t>
      </w:r>
      <w:hyperlink r:id="rId25">
        <w:r w:rsidDel="00000000" w:rsidR="00000000" w:rsidRPr="00000000">
          <w:rPr>
            <w:rFonts w:ascii="Google Sans" w:cs="Google Sans" w:eastAsia="Google Sans" w:hAnsi="Google Sans"/>
            <w:color w:val="0000ee"/>
            <w:sz w:val="24"/>
            <w:szCs w:val="24"/>
            <w:u w:val="single"/>
            <w:rtl w:val="0"/>
          </w:rPr>
          <w:t xml:space="preserve">https://pubmed.ncbi.nlm.nih.gov/39336746/</w:t>
        </w:r>
      </w:hyperlink>
      <w:r w:rsidDel="00000000" w:rsidR="00000000" w:rsidRPr="00000000">
        <w:rPr>
          <w:rtl w:val="0"/>
        </w:rPr>
      </w:r>
    </w:p>
    <w:p w:rsidR="00000000" w:rsidDel="00000000" w:rsidP="00000000" w:rsidRDefault="00000000" w:rsidRPr="00000000" w14:paraId="0000016B">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Kabuki syndrome: review of the clinical features, diagnosis and epigenetic mechanisms, accessed June 26, 2025, </w:t>
      </w:r>
      <w:hyperlink r:id="rId26">
        <w:r w:rsidDel="00000000" w:rsidR="00000000" w:rsidRPr="00000000">
          <w:rPr>
            <w:rFonts w:ascii="Google Sans" w:cs="Google Sans" w:eastAsia="Google Sans" w:hAnsi="Google Sans"/>
            <w:color w:val="0000ee"/>
            <w:sz w:val="24"/>
            <w:szCs w:val="24"/>
            <w:u w:val="single"/>
            <w:rtl w:val="0"/>
          </w:rPr>
          <w:t xml:space="preserve">https://www.researchgate.net/publication/336280533_Kabuki_syndrome_review_of_the_clinical_features_diagnosis_and_epigenetic_mechanisms</w:t>
        </w:r>
      </w:hyperlink>
      <w:r w:rsidDel="00000000" w:rsidR="00000000" w:rsidRPr="00000000">
        <w:rPr>
          <w:rtl w:val="0"/>
        </w:rPr>
      </w:r>
    </w:p>
    <w:p w:rsidR="00000000" w:rsidDel="00000000" w:rsidP="00000000" w:rsidRDefault="00000000" w:rsidRPr="00000000" w14:paraId="0000016C">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Cornelia de Lange Syndrome - GeneReviews® - NCBI Bookshelf, accessed June 26, 2025, </w:t>
      </w:r>
      <w:hyperlink r:id="rId27">
        <w:r w:rsidDel="00000000" w:rsidR="00000000" w:rsidRPr="00000000">
          <w:rPr>
            <w:rFonts w:ascii="Google Sans" w:cs="Google Sans" w:eastAsia="Google Sans" w:hAnsi="Google Sans"/>
            <w:color w:val="0000ee"/>
            <w:sz w:val="24"/>
            <w:szCs w:val="24"/>
            <w:u w:val="single"/>
            <w:rtl w:val="0"/>
          </w:rPr>
          <w:t xml:space="preserve">https://www.ncbi.nlm.nih.gov/books/NBK1104/</w:t>
        </w:r>
      </w:hyperlink>
      <w:r w:rsidDel="00000000" w:rsidR="00000000" w:rsidRPr="00000000">
        <w:rPr>
          <w:rtl w:val="0"/>
        </w:rPr>
      </w:r>
    </w:p>
    <w:p w:rsidR="00000000" w:rsidDel="00000000" w:rsidP="00000000" w:rsidRDefault="00000000" w:rsidRPr="00000000" w14:paraId="0000016D">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Cornelia de Lange Syndrome as Paradigm of Chromatinopathies - Frontiers, accessed June 26, 2025, </w:t>
      </w:r>
      <w:hyperlink r:id="rId28">
        <w:r w:rsidDel="00000000" w:rsidR="00000000" w:rsidRPr="00000000">
          <w:rPr>
            <w:rFonts w:ascii="Google Sans" w:cs="Google Sans" w:eastAsia="Google Sans" w:hAnsi="Google Sans"/>
            <w:color w:val="0000ee"/>
            <w:sz w:val="24"/>
            <w:szCs w:val="24"/>
            <w:u w:val="single"/>
            <w:rtl w:val="0"/>
          </w:rPr>
          <w:t xml:space="preserve">https://www.frontiersin.org/journals/neuroscience/articles/10.3389/fnins.2021.774950/pdf</w:t>
        </w:r>
      </w:hyperlink>
      <w:r w:rsidDel="00000000" w:rsidR="00000000" w:rsidRPr="00000000">
        <w:rPr>
          <w:rtl w:val="0"/>
        </w:rPr>
      </w:r>
    </w:p>
    <w:p w:rsidR="00000000" w:rsidDel="00000000" w:rsidP="00000000" w:rsidRDefault="00000000" w:rsidRPr="00000000" w14:paraId="0000016E">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Cornelia de Lange Syndrome as Paradigm of Chromatinopathies - PMC - PubMed Central, accessed June 26, 2025, </w:t>
      </w:r>
      <w:hyperlink r:id="rId29">
        <w:r w:rsidDel="00000000" w:rsidR="00000000" w:rsidRPr="00000000">
          <w:rPr>
            <w:rFonts w:ascii="Google Sans" w:cs="Google Sans" w:eastAsia="Google Sans" w:hAnsi="Google Sans"/>
            <w:color w:val="0000ee"/>
            <w:sz w:val="24"/>
            <w:szCs w:val="24"/>
            <w:u w:val="single"/>
            <w:rtl w:val="0"/>
          </w:rPr>
          <w:t xml:space="preserve">https://pmc.ncbi.nlm.nih.gov/articles/PMC8603810/</w:t>
        </w:r>
      </w:hyperlink>
      <w:r w:rsidDel="00000000" w:rsidR="00000000" w:rsidRPr="00000000">
        <w:rPr>
          <w:rtl w:val="0"/>
        </w:rPr>
      </w:r>
    </w:p>
    <w:p w:rsidR="00000000" w:rsidDel="00000000" w:rsidP="00000000" w:rsidRDefault="00000000" w:rsidRPr="00000000" w14:paraId="0000016F">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Chromatinopathies: A focus on Cornelia de Lange syndrome - PubMed, accessed June 26, 2025, </w:t>
      </w:r>
      <w:hyperlink r:id="rId30">
        <w:r w:rsidDel="00000000" w:rsidR="00000000" w:rsidRPr="00000000">
          <w:rPr>
            <w:rFonts w:ascii="Google Sans" w:cs="Google Sans" w:eastAsia="Google Sans" w:hAnsi="Google Sans"/>
            <w:color w:val="0000ee"/>
            <w:sz w:val="24"/>
            <w:szCs w:val="24"/>
            <w:u w:val="single"/>
            <w:rtl w:val="0"/>
          </w:rPr>
          <w:t xml:space="preserve">https://pubmed.ncbi.nlm.nih.gov/31721174/</w:t>
        </w:r>
      </w:hyperlink>
      <w:r w:rsidDel="00000000" w:rsidR="00000000" w:rsidRPr="00000000">
        <w:rPr>
          <w:rtl w:val="0"/>
        </w:rPr>
      </w:r>
    </w:p>
    <w:p w:rsidR="00000000" w:rsidDel="00000000" w:rsidP="00000000" w:rsidRDefault="00000000" w:rsidRPr="00000000" w14:paraId="00000170">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Cornelia de Lange Syndrome as Paradigm of Chromatinopathies - PubMed, accessed June 26, 2025, </w:t>
      </w:r>
      <w:hyperlink r:id="rId31">
        <w:r w:rsidDel="00000000" w:rsidR="00000000" w:rsidRPr="00000000">
          <w:rPr>
            <w:rFonts w:ascii="Google Sans" w:cs="Google Sans" w:eastAsia="Google Sans" w:hAnsi="Google Sans"/>
            <w:color w:val="0000ee"/>
            <w:sz w:val="24"/>
            <w:szCs w:val="24"/>
            <w:u w:val="single"/>
            <w:rtl w:val="0"/>
          </w:rPr>
          <w:t xml:space="preserve">https://pubmed.ncbi.nlm.nih.gov/34803598/</w:t>
        </w:r>
      </w:hyperlink>
      <w:r w:rsidDel="00000000" w:rsidR="00000000" w:rsidRPr="00000000">
        <w:rPr>
          <w:rtl w:val="0"/>
        </w:rPr>
      </w:r>
    </w:p>
    <w:p w:rsidR="00000000" w:rsidDel="00000000" w:rsidP="00000000" w:rsidRDefault="00000000" w:rsidRPr="00000000" w14:paraId="00000171">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phenomenal epigenome in neurodevelopmental disorders - Oxford Academic, accessed June 26, 2025, </w:t>
      </w:r>
      <w:hyperlink r:id="rId32">
        <w:r w:rsidDel="00000000" w:rsidR="00000000" w:rsidRPr="00000000">
          <w:rPr>
            <w:rFonts w:ascii="Google Sans" w:cs="Google Sans" w:eastAsia="Google Sans" w:hAnsi="Google Sans"/>
            <w:color w:val="0000ee"/>
            <w:sz w:val="24"/>
            <w:szCs w:val="24"/>
            <w:u w:val="single"/>
            <w:rtl w:val="0"/>
          </w:rPr>
          <w:t xml:space="preserve">https://academic.oup.com/hmg/article/29/R1/R42/5882585</w:t>
        </w:r>
      </w:hyperlink>
      <w:r w:rsidDel="00000000" w:rsidR="00000000" w:rsidRPr="00000000">
        <w:rPr>
          <w:rtl w:val="0"/>
        </w:rPr>
      </w:r>
    </w:p>
    <w:p w:rsidR="00000000" w:rsidDel="00000000" w:rsidP="00000000" w:rsidRDefault="00000000" w:rsidRPr="00000000" w14:paraId="00000172">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Cornelia de Lange Syndrome (CdLS) | Boston Children's Hospital, accessed June 26, 2025, </w:t>
      </w:r>
      <w:hyperlink r:id="rId33">
        <w:r w:rsidDel="00000000" w:rsidR="00000000" w:rsidRPr="00000000">
          <w:rPr>
            <w:rFonts w:ascii="Google Sans" w:cs="Google Sans" w:eastAsia="Google Sans" w:hAnsi="Google Sans"/>
            <w:color w:val="0000ee"/>
            <w:sz w:val="24"/>
            <w:szCs w:val="24"/>
            <w:u w:val="single"/>
            <w:rtl w:val="0"/>
          </w:rPr>
          <w:t xml:space="preserve">https://www.childrenshospital.org/conditions/cornelia-de-lange-syndrome</w:t>
        </w:r>
      </w:hyperlink>
      <w:r w:rsidDel="00000000" w:rsidR="00000000" w:rsidRPr="00000000">
        <w:rPr>
          <w:rtl w:val="0"/>
        </w:rPr>
      </w:r>
    </w:p>
    <w:p w:rsidR="00000000" w:rsidDel="00000000" w:rsidP="00000000" w:rsidRDefault="00000000" w:rsidRPr="00000000" w14:paraId="00000173">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Clinical and molecular characteristics of Korean children with Cornelia de Lange syndrome, accessed June 26, 2025, </w:t>
      </w:r>
      <w:hyperlink r:id="rId34">
        <w:r w:rsidDel="00000000" w:rsidR="00000000" w:rsidRPr="00000000">
          <w:rPr>
            <w:rFonts w:ascii="Google Sans" w:cs="Google Sans" w:eastAsia="Google Sans" w:hAnsi="Google Sans"/>
            <w:color w:val="0000ee"/>
            <w:sz w:val="24"/>
            <w:szCs w:val="24"/>
            <w:u w:val="single"/>
            <w:rtl w:val="0"/>
          </w:rPr>
          <w:t xml:space="preserve">https://www.e-kjgm.org/journal/view.html?uid=352&amp;&amp;vmd=Full</w:t>
        </w:r>
      </w:hyperlink>
      <w:r w:rsidDel="00000000" w:rsidR="00000000" w:rsidRPr="00000000">
        <w:rPr>
          <w:rtl w:val="0"/>
        </w:rPr>
      </w:r>
    </w:p>
    <w:p w:rsidR="00000000" w:rsidDel="00000000" w:rsidP="00000000" w:rsidRDefault="00000000" w:rsidRPr="00000000" w14:paraId="00000174">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Cornelia de Lange Syndrome | Children's Hospital of Philadelphia, accessed June 26, 2025, </w:t>
      </w:r>
      <w:hyperlink r:id="rId35">
        <w:r w:rsidDel="00000000" w:rsidR="00000000" w:rsidRPr="00000000">
          <w:rPr>
            <w:rFonts w:ascii="Google Sans" w:cs="Google Sans" w:eastAsia="Google Sans" w:hAnsi="Google Sans"/>
            <w:color w:val="0000ee"/>
            <w:sz w:val="24"/>
            <w:szCs w:val="24"/>
            <w:u w:val="single"/>
            <w:rtl w:val="0"/>
          </w:rPr>
          <w:t xml:space="preserve">https://www.chop.edu/conditions-diseases/cornelia-de-lange-syndrome</w:t>
        </w:r>
      </w:hyperlink>
      <w:r w:rsidDel="00000000" w:rsidR="00000000" w:rsidRPr="00000000">
        <w:rPr>
          <w:rtl w:val="0"/>
        </w:rPr>
      </w:r>
    </w:p>
    <w:p w:rsidR="00000000" w:rsidDel="00000000" w:rsidP="00000000" w:rsidRDefault="00000000" w:rsidRPr="00000000" w14:paraId="00000175">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Cornelia de Lange syndrome - Genetics - MedlinePlus, accessed June 26, 2025, </w:t>
      </w:r>
      <w:hyperlink r:id="rId36">
        <w:r w:rsidDel="00000000" w:rsidR="00000000" w:rsidRPr="00000000">
          <w:rPr>
            <w:rFonts w:ascii="Google Sans" w:cs="Google Sans" w:eastAsia="Google Sans" w:hAnsi="Google Sans"/>
            <w:color w:val="0000ee"/>
            <w:sz w:val="24"/>
            <w:szCs w:val="24"/>
            <w:u w:val="single"/>
            <w:rtl w:val="0"/>
          </w:rPr>
          <w:t xml:space="preserve">https://medlineplus.gov/genetics/condition/cornelia-de-lange-syndrome/</w:t>
        </w:r>
      </w:hyperlink>
      <w:r w:rsidDel="00000000" w:rsidR="00000000" w:rsidRPr="00000000">
        <w:rPr>
          <w:rtl w:val="0"/>
        </w:rPr>
      </w:r>
    </w:p>
    <w:p w:rsidR="00000000" w:rsidDel="00000000" w:rsidP="00000000" w:rsidRDefault="00000000" w:rsidRPr="00000000" w14:paraId="00000176">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Cornelia de Lange Syndrome - StatPearls - NCBI Bookshelf, accessed June 26, 2025, </w:t>
      </w:r>
      <w:hyperlink r:id="rId37">
        <w:r w:rsidDel="00000000" w:rsidR="00000000" w:rsidRPr="00000000">
          <w:rPr>
            <w:rFonts w:ascii="Google Sans" w:cs="Google Sans" w:eastAsia="Google Sans" w:hAnsi="Google Sans"/>
            <w:color w:val="0000ee"/>
            <w:sz w:val="24"/>
            <w:szCs w:val="24"/>
            <w:u w:val="single"/>
            <w:rtl w:val="0"/>
          </w:rPr>
          <w:t xml:space="preserve">https://www.ncbi.nlm.nih.gov/books/NBK554584/</w:t>
        </w:r>
      </w:hyperlink>
      <w:r w:rsidDel="00000000" w:rsidR="00000000" w:rsidRPr="00000000">
        <w:rPr>
          <w:rtl w:val="0"/>
        </w:rPr>
      </w:r>
    </w:p>
    <w:p w:rsidR="00000000" w:rsidDel="00000000" w:rsidP="00000000" w:rsidRDefault="00000000" w:rsidRPr="00000000" w14:paraId="00000177">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Cornelia de Lange Syndrome - Symptoms, Causes, Treatment | NORD, accessed June 26, 2025, </w:t>
      </w:r>
      <w:hyperlink r:id="rId38">
        <w:r w:rsidDel="00000000" w:rsidR="00000000" w:rsidRPr="00000000">
          <w:rPr>
            <w:rFonts w:ascii="Google Sans" w:cs="Google Sans" w:eastAsia="Google Sans" w:hAnsi="Google Sans"/>
            <w:color w:val="0000ee"/>
            <w:sz w:val="24"/>
            <w:szCs w:val="24"/>
            <w:u w:val="single"/>
            <w:rtl w:val="0"/>
          </w:rPr>
          <w:t xml:space="preserve">https://rarediseases.org/rare-diseases/cornelia-de-lange-syndrome/</w:t>
        </w:r>
      </w:hyperlink>
      <w:r w:rsidDel="00000000" w:rsidR="00000000" w:rsidRPr="00000000">
        <w:rPr>
          <w:rtl w:val="0"/>
        </w:rPr>
      </w:r>
    </w:p>
    <w:p w:rsidR="00000000" w:rsidDel="00000000" w:rsidP="00000000" w:rsidRDefault="00000000" w:rsidRPr="00000000" w14:paraId="00000178">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Advancing the Clinical and Molecular Understanding of Cornelia De Lange Syndrome: A Multidisciplinary Pediatrics Case Series and Review of Literature - Preprints.org, accessed June 26, 2025, </w:t>
      </w:r>
      <w:hyperlink r:id="rId39">
        <w:r w:rsidDel="00000000" w:rsidR="00000000" w:rsidRPr="00000000">
          <w:rPr>
            <w:rFonts w:ascii="Google Sans" w:cs="Google Sans" w:eastAsia="Google Sans" w:hAnsi="Google Sans"/>
            <w:color w:val="0000ee"/>
            <w:sz w:val="24"/>
            <w:szCs w:val="24"/>
            <w:u w:val="single"/>
            <w:rtl w:val="0"/>
          </w:rPr>
          <w:t xml:space="preserve">https://www.preprints.org/manuscript/202402.0646/v1</w:t>
        </w:r>
      </w:hyperlink>
      <w:r w:rsidDel="00000000" w:rsidR="00000000" w:rsidRPr="00000000">
        <w:rPr>
          <w:rtl w:val="0"/>
        </w:rPr>
      </w:r>
    </w:p>
    <w:p w:rsidR="00000000" w:rsidDel="00000000" w:rsidP="00000000" w:rsidRDefault="00000000" w:rsidRPr="00000000" w14:paraId="00000179">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Advancing the Clinical and Molecular Understanding of Cornelia de Lange Syndrome: A Multidisciplinary Pediatric Case Series and Review of the Literature - MDPI, accessed June 26, 2025, </w:t>
      </w:r>
      <w:hyperlink r:id="rId40">
        <w:r w:rsidDel="00000000" w:rsidR="00000000" w:rsidRPr="00000000">
          <w:rPr>
            <w:rFonts w:ascii="Google Sans" w:cs="Google Sans" w:eastAsia="Google Sans" w:hAnsi="Google Sans"/>
            <w:color w:val="0000ee"/>
            <w:sz w:val="24"/>
            <w:szCs w:val="24"/>
            <w:u w:val="single"/>
            <w:rtl w:val="0"/>
          </w:rPr>
          <w:t xml:space="preserve">https://www.mdpi.com/2077-0383/13/8/2423</w:t>
        </w:r>
      </w:hyperlink>
      <w:r w:rsidDel="00000000" w:rsidR="00000000" w:rsidRPr="00000000">
        <w:rPr>
          <w:rtl w:val="0"/>
        </w:rPr>
      </w:r>
    </w:p>
    <w:p w:rsidR="00000000" w:rsidDel="00000000" w:rsidP="00000000" w:rsidRDefault="00000000" w:rsidRPr="00000000" w14:paraId="0000017A">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Rett Syndrome - StatPearls - NCBI Bookshelf, accessed June 26, 2025, </w:t>
      </w:r>
      <w:hyperlink r:id="rId41">
        <w:r w:rsidDel="00000000" w:rsidR="00000000" w:rsidRPr="00000000">
          <w:rPr>
            <w:rFonts w:ascii="Google Sans" w:cs="Google Sans" w:eastAsia="Google Sans" w:hAnsi="Google Sans"/>
            <w:color w:val="0000ee"/>
            <w:sz w:val="24"/>
            <w:szCs w:val="24"/>
            <w:u w:val="single"/>
            <w:rtl w:val="0"/>
          </w:rPr>
          <w:t xml:space="preserve">https://www.ncbi.nlm.nih.gov/books/NBK482252/</w:t>
        </w:r>
      </w:hyperlink>
      <w:r w:rsidDel="00000000" w:rsidR="00000000" w:rsidRPr="00000000">
        <w:rPr>
          <w:rtl w:val="0"/>
        </w:rPr>
      </w:r>
    </w:p>
    <w:p w:rsidR="00000000" w:rsidDel="00000000" w:rsidP="00000000" w:rsidRDefault="00000000" w:rsidRPr="00000000" w14:paraId="0000017B">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Understanding Rett Syndrome: Genetic, clinical and therapeutic perspectives - literature review - UMK, accessed June 26, 2025, </w:t>
      </w:r>
      <w:hyperlink r:id="rId42">
        <w:r w:rsidDel="00000000" w:rsidR="00000000" w:rsidRPr="00000000">
          <w:rPr>
            <w:rFonts w:ascii="Google Sans" w:cs="Google Sans" w:eastAsia="Google Sans" w:hAnsi="Google Sans"/>
            <w:color w:val="0000ee"/>
            <w:sz w:val="24"/>
            <w:szCs w:val="24"/>
            <w:u w:val="single"/>
            <w:rtl w:val="0"/>
          </w:rPr>
          <w:t xml:space="preserve">https://apcz.umk.pl/JEHS/article/download/57074/41138/171545</w:t>
        </w:r>
      </w:hyperlink>
      <w:r w:rsidDel="00000000" w:rsidR="00000000" w:rsidRPr="00000000">
        <w:rPr>
          <w:rtl w:val="0"/>
        </w:rPr>
      </w:r>
    </w:p>
    <w:p w:rsidR="00000000" w:rsidDel="00000000" w:rsidP="00000000" w:rsidRDefault="00000000" w:rsidRPr="00000000" w14:paraId="0000017C">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Rett syndrome: a review of clinical manifestations and therapeutic approaches - Frontiers, accessed June 26, 2025, </w:t>
      </w:r>
      <w:hyperlink r:id="rId43">
        <w:r w:rsidDel="00000000" w:rsidR="00000000" w:rsidRPr="00000000">
          <w:rPr>
            <w:rFonts w:ascii="Google Sans" w:cs="Google Sans" w:eastAsia="Google Sans" w:hAnsi="Google Sans"/>
            <w:color w:val="0000ee"/>
            <w:sz w:val="24"/>
            <w:szCs w:val="24"/>
            <w:u w:val="single"/>
            <w:rtl w:val="0"/>
          </w:rPr>
          <w:t xml:space="preserve">https://www.frontiersin.org/journals/sleep/articles/10.3389/frsle.2024.1373489/full</w:t>
        </w:r>
      </w:hyperlink>
      <w:r w:rsidDel="00000000" w:rsidR="00000000" w:rsidRPr="00000000">
        <w:rPr>
          <w:rtl w:val="0"/>
        </w:rPr>
      </w:r>
    </w:p>
    <w:p w:rsidR="00000000" w:rsidDel="00000000" w:rsidP="00000000" w:rsidRDefault="00000000" w:rsidRPr="00000000" w14:paraId="0000017D">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Understanding Rett Syndrome, accessed June 26, 2025, </w:t>
      </w:r>
      <w:hyperlink r:id="rId44">
        <w:r w:rsidDel="00000000" w:rsidR="00000000" w:rsidRPr="00000000">
          <w:rPr>
            <w:rFonts w:ascii="Google Sans" w:cs="Google Sans" w:eastAsia="Google Sans" w:hAnsi="Google Sans"/>
            <w:color w:val="0000ee"/>
            <w:sz w:val="24"/>
            <w:szCs w:val="24"/>
            <w:u w:val="single"/>
            <w:rtl w:val="0"/>
          </w:rPr>
          <w:t xml:space="preserve">https://www.rettsyndrome.org/about-rett-syndrome/understanding-rett-syndrome/</w:t>
        </w:r>
      </w:hyperlink>
      <w:r w:rsidDel="00000000" w:rsidR="00000000" w:rsidRPr="00000000">
        <w:rPr>
          <w:rtl w:val="0"/>
        </w:rPr>
      </w:r>
    </w:p>
    <w:p w:rsidR="00000000" w:rsidDel="00000000" w:rsidP="00000000" w:rsidRDefault="00000000" w:rsidRPr="00000000" w14:paraId="0000017E">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Rett syndrome: insights into genetic, molecular and circuit mechanisms - PubMed Central, accessed June 26, 2025, </w:t>
      </w:r>
      <w:hyperlink r:id="rId45">
        <w:r w:rsidDel="00000000" w:rsidR="00000000" w:rsidRPr="00000000">
          <w:rPr>
            <w:rFonts w:ascii="Google Sans" w:cs="Google Sans" w:eastAsia="Google Sans" w:hAnsi="Google Sans"/>
            <w:color w:val="0000ee"/>
            <w:sz w:val="24"/>
            <w:szCs w:val="24"/>
            <w:u w:val="single"/>
            <w:rtl w:val="0"/>
          </w:rPr>
          <w:t xml:space="preserve">https://pmc.ncbi.nlm.nih.gov/articles/PMC6402579/</w:t>
        </w:r>
      </w:hyperlink>
      <w:r w:rsidDel="00000000" w:rsidR="00000000" w:rsidRPr="00000000">
        <w:rPr>
          <w:rtl w:val="0"/>
        </w:rPr>
      </w:r>
    </w:p>
    <w:p w:rsidR="00000000" w:rsidDel="00000000" w:rsidP="00000000" w:rsidRDefault="00000000" w:rsidRPr="00000000" w14:paraId="0000017F">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Rett syndrome - Genetics - MedlinePlus, accessed June 26, 2025, </w:t>
      </w:r>
      <w:hyperlink r:id="rId46">
        <w:r w:rsidDel="00000000" w:rsidR="00000000" w:rsidRPr="00000000">
          <w:rPr>
            <w:rFonts w:ascii="Google Sans" w:cs="Google Sans" w:eastAsia="Google Sans" w:hAnsi="Google Sans"/>
            <w:color w:val="0000ee"/>
            <w:sz w:val="24"/>
            <w:szCs w:val="24"/>
            <w:u w:val="single"/>
            <w:rtl w:val="0"/>
          </w:rPr>
          <w:t xml:space="preserve">https://medlineplus.gov/genetics/condition/rett-syndrome/</w:t>
        </w:r>
      </w:hyperlink>
      <w:r w:rsidDel="00000000" w:rsidR="00000000" w:rsidRPr="00000000">
        <w:rPr>
          <w:rtl w:val="0"/>
        </w:rPr>
      </w:r>
    </w:p>
    <w:p w:rsidR="00000000" w:rsidDel="00000000" w:rsidP="00000000" w:rsidRDefault="00000000" w:rsidRPr="00000000" w14:paraId="00000180">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MECP2 Disorders - GeneReviews® - NCBI Bookshelf, accessed June 26, 2025, </w:t>
      </w:r>
      <w:hyperlink r:id="rId47">
        <w:r w:rsidDel="00000000" w:rsidR="00000000" w:rsidRPr="00000000">
          <w:rPr>
            <w:rFonts w:ascii="Google Sans" w:cs="Google Sans" w:eastAsia="Google Sans" w:hAnsi="Google Sans"/>
            <w:color w:val="0000ee"/>
            <w:sz w:val="24"/>
            <w:szCs w:val="24"/>
            <w:u w:val="single"/>
            <w:rtl w:val="0"/>
          </w:rPr>
          <w:t xml:space="preserve">https://www.ncbi.nlm.nih.gov/books/NBK1497/</w:t>
        </w:r>
      </w:hyperlink>
      <w:r w:rsidDel="00000000" w:rsidR="00000000" w:rsidRPr="00000000">
        <w:rPr>
          <w:rtl w:val="0"/>
        </w:rPr>
      </w:r>
    </w:p>
    <w:p w:rsidR="00000000" w:rsidDel="00000000" w:rsidP="00000000" w:rsidRDefault="00000000" w:rsidRPr="00000000" w14:paraId="00000181">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Rett Syndrome - Symptoms, Causes, Treatment | NORD, accessed June 26, 2025, </w:t>
      </w:r>
      <w:hyperlink r:id="rId48">
        <w:r w:rsidDel="00000000" w:rsidR="00000000" w:rsidRPr="00000000">
          <w:rPr>
            <w:rFonts w:ascii="Google Sans" w:cs="Google Sans" w:eastAsia="Google Sans" w:hAnsi="Google Sans"/>
            <w:color w:val="0000ee"/>
            <w:sz w:val="24"/>
            <w:szCs w:val="24"/>
            <w:u w:val="single"/>
            <w:rtl w:val="0"/>
          </w:rPr>
          <w:t xml:space="preserve">https://rarediseases.org/rare-diseases/rett-syndrome/</w:t>
        </w:r>
      </w:hyperlink>
      <w:r w:rsidDel="00000000" w:rsidR="00000000" w:rsidRPr="00000000">
        <w:rPr>
          <w:rtl w:val="0"/>
        </w:rPr>
      </w:r>
    </w:p>
    <w:p w:rsidR="00000000" w:rsidDel="00000000" w:rsidP="00000000" w:rsidRDefault="00000000" w:rsidRPr="00000000" w14:paraId="00000182">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Kabuki Syndrome—Clinical Review with Molecular Aspects - PMC, accessed June 26, 2025, </w:t>
      </w:r>
      <w:hyperlink r:id="rId49">
        <w:r w:rsidDel="00000000" w:rsidR="00000000" w:rsidRPr="00000000">
          <w:rPr>
            <w:rFonts w:ascii="Google Sans" w:cs="Google Sans" w:eastAsia="Google Sans" w:hAnsi="Google Sans"/>
            <w:color w:val="0000ee"/>
            <w:sz w:val="24"/>
            <w:szCs w:val="24"/>
            <w:u w:val="single"/>
            <w:rtl w:val="0"/>
          </w:rPr>
          <w:t xml:space="preserve">https://pmc.ncbi.nlm.nih.gov/articles/PMC8064399/</w:t>
        </w:r>
      </w:hyperlink>
      <w:r w:rsidDel="00000000" w:rsidR="00000000" w:rsidRPr="00000000">
        <w:rPr>
          <w:rtl w:val="0"/>
        </w:rPr>
      </w:r>
    </w:p>
    <w:p w:rsidR="00000000" w:rsidDel="00000000" w:rsidP="00000000" w:rsidRDefault="00000000" w:rsidRPr="00000000" w14:paraId="00000183">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From Genotype to Phenotype—A Review of Kabuki Syndrome - MDPI, accessed June 26, 2025, </w:t>
      </w:r>
      <w:hyperlink r:id="rId50">
        <w:r w:rsidDel="00000000" w:rsidR="00000000" w:rsidRPr="00000000">
          <w:rPr>
            <w:rFonts w:ascii="Google Sans" w:cs="Google Sans" w:eastAsia="Google Sans" w:hAnsi="Google Sans"/>
            <w:color w:val="0000ee"/>
            <w:sz w:val="24"/>
            <w:szCs w:val="24"/>
            <w:u w:val="single"/>
            <w:rtl w:val="0"/>
          </w:rPr>
          <w:t xml:space="preserve">https://www.mdpi.com/2073-4425/13/10/1761</w:t>
        </w:r>
      </w:hyperlink>
      <w:r w:rsidDel="00000000" w:rsidR="00000000" w:rsidRPr="00000000">
        <w:rPr>
          <w:rtl w:val="0"/>
        </w:rPr>
      </w:r>
    </w:p>
    <w:p w:rsidR="00000000" w:rsidDel="00000000" w:rsidP="00000000" w:rsidRDefault="00000000" w:rsidRPr="00000000" w14:paraId="00000184">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Insights into the molecular genetics of Kabuki syndrome | AGG, accessed June 26, 2025, </w:t>
      </w:r>
      <w:hyperlink r:id="rId51">
        <w:r w:rsidDel="00000000" w:rsidR="00000000" w:rsidRPr="00000000">
          <w:rPr>
            <w:rFonts w:ascii="Google Sans" w:cs="Google Sans" w:eastAsia="Google Sans" w:hAnsi="Google Sans"/>
            <w:color w:val="0000ee"/>
            <w:sz w:val="24"/>
            <w:szCs w:val="24"/>
            <w:u w:val="single"/>
            <w:rtl w:val="0"/>
          </w:rPr>
          <w:t xml:space="preserve">https://www.dovepress.com/insights-into-the-molecular-genetics-of-kabuki-syndrome-peer-reviewed-fulltext-article-AGG</w:t>
        </w:r>
      </w:hyperlink>
      <w:r w:rsidDel="00000000" w:rsidR="00000000" w:rsidRPr="00000000">
        <w:rPr>
          <w:rtl w:val="0"/>
        </w:rPr>
      </w:r>
    </w:p>
    <w:p w:rsidR="00000000" w:rsidDel="00000000" w:rsidP="00000000" w:rsidRDefault="00000000" w:rsidRPr="00000000" w14:paraId="00000185">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Kabuki Syndrome - StatPearls - NCBI Bookshelf, accessed June 26, 2025, </w:t>
      </w:r>
      <w:hyperlink r:id="rId52">
        <w:r w:rsidDel="00000000" w:rsidR="00000000" w:rsidRPr="00000000">
          <w:rPr>
            <w:rFonts w:ascii="Google Sans" w:cs="Google Sans" w:eastAsia="Google Sans" w:hAnsi="Google Sans"/>
            <w:color w:val="0000ee"/>
            <w:sz w:val="24"/>
            <w:szCs w:val="24"/>
            <w:u w:val="single"/>
            <w:rtl w:val="0"/>
          </w:rPr>
          <w:t xml:space="preserve">https://www.ncbi.nlm.nih.gov/books/NBK604465/</w:t>
        </w:r>
      </w:hyperlink>
      <w:r w:rsidDel="00000000" w:rsidR="00000000" w:rsidRPr="00000000">
        <w:rPr>
          <w:rtl w:val="0"/>
        </w:rPr>
      </w:r>
    </w:p>
    <w:p w:rsidR="00000000" w:rsidDel="00000000" w:rsidP="00000000" w:rsidRDefault="00000000" w:rsidRPr="00000000" w14:paraId="00000186">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Kabuki syndrome - Wikipedia, accessed June 26, 2025, </w:t>
      </w:r>
      <w:hyperlink r:id="rId53">
        <w:r w:rsidDel="00000000" w:rsidR="00000000" w:rsidRPr="00000000">
          <w:rPr>
            <w:rFonts w:ascii="Google Sans" w:cs="Google Sans" w:eastAsia="Google Sans" w:hAnsi="Google Sans"/>
            <w:color w:val="0000ee"/>
            <w:sz w:val="24"/>
            <w:szCs w:val="24"/>
            <w:u w:val="single"/>
            <w:rtl w:val="0"/>
          </w:rPr>
          <w:t xml:space="preserve">https://en.wikipedia.org/wiki/Kabuki_syndrome</w:t>
        </w:r>
      </w:hyperlink>
      <w:r w:rsidDel="00000000" w:rsidR="00000000" w:rsidRPr="00000000">
        <w:rPr>
          <w:rtl w:val="0"/>
        </w:rPr>
      </w:r>
    </w:p>
    <w:p w:rsidR="00000000" w:rsidDel="00000000" w:rsidP="00000000" w:rsidRDefault="00000000" w:rsidRPr="00000000" w14:paraId="00000187">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Kabuki syndrome: clinical and molecular characteristics, accessed June 26, 2025, </w:t>
      </w:r>
      <w:hyperlink r:id="rId54">
        <w:r w:rsidDel="00000000" w:rsidR="00000000" w:rsidRPr="00000000">
          <w:rPr>
            <w:rFonts w:ascii="Google Sans" w:cs="Google Sans" w:eastAsia="Google Sans" w:hAnsi="Google Sans"/>
            <w:color w:val="0000ee"/>
            <w:sz w:val="24"/>
            <w:szCs w:val="24"/>
            <w:u w:val="single"/>
            <w:rtl w:val="0"/>
          </w:rPr>
          <w:t xml:space="preserve">https://www.e-cep.org/journal/view.php?doi=10.3345/kjp.2015.58.9.317</w:t>
        </w:r>
      </w:hyperlink>
      <w:r w:rsidDel="00000000" w:rsidR="00000000" w:rsidRPr="00000000">
        <w:rPr>
          <w:rtl w:val="0"/>
        </w:rPr>
      </w:r>
    </w:p>
    <w:p w:rsidR="00000000" w:rsidDel="00000000" w:rsidP="00000000" w:rsidRDefault="00000000" w:rsidRPr="00000000" w14:paraId="00000188">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Kabuki Syndrome - GeneReviews® - NCBI Bookshelf, accessed June 26, 2025, </w:t>
      </w:r>
      <w:hyperlink r:id="rId55">
        <w:r w:rsidDel="00000000" w:rsidR="00000000" w:rsidRPr="00000000">
          <w:rPr>
            <w:rFonts w:ascii="Google Sans" w:cs="Google Sans" w:eastAsia="Google Sans" w:hAnsi="Google Sans"/>
            <w:color w:val="0000ee"/>
            <w:sz w:val="24"/>
            <w:szCs w:val="24"/>
            <w:u w:val="single"/>
            <w:rtl w:val="0"/>
          </w:rPr>
          <w:t xml:space="preserve">https://www.ncbi.nlm.nih.gov/books/NBK62111/</w:t>
        </w:r>
      </w:hyperlink>
      <w:r w:rsidDel="00000000" w:rsidR="00000000" w:rsidRPr="00000000">
        <w:rPr>
          <w:rtl w:val="0"/>
        </w:rPr>
      </w:r>
    </w:p>
    <w:p w:rsidR="00000000" w:rsidDel="00000000" w:rsidP="00000000" w:rsidRDefault="00000000" w:rsidRPr="00000000" w14:paraId="00000189">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The overlapping of phenotypes in Wiedemann-Steiner, Kleefstra and Coffin-Siris syndromes: a study of eleven patients - ResearchGate, accessed June 26, 2025, </w:t>
      </w:r>
      <w:hyperlink r:id="rId56">
        <w:r w:rsidDel="00000000" w:rsidR="00000000" w:rsidRPr="00000000">
          <w:rPr>
            <w:rFonts w:ascii="Google Sans" w:cs="Google Sans" w:eastAsia="Google Sans" w:hAnsi="Google Sans"/>
            <w:color w:val="0000ee"/>
            <w:sz w:val="24"/>
            <w:szCs w:val="24"/>
            <w:u w:val="single"/>
            <w:rtl w:val="0"/>
          </w:rPr>
          <w:t xml:space="preserve">https://www.researchgate.net/publication/384149017_The_overlapping_of_phenotypes_in_Wiedemann-Steiner_Kleefstra_and_Coffin-Siris_syndromes_a_study_of_eleven_patients?_tp=eyJjb250ZXh0Ijp7InBhZ2UiOiJzY2llbnRpZmljQ29udHJpYnV0aW9ucyIsInByZXZpb3VzUGFnZSI6bnVsbCwic3ViUGFnZSI6bnVsbH19</w:t>
        </w:r>
      </w:hyperlink>
      <w:r w:rsidDel="00000000" w:rsidR="00000000" w:rsidRPr="00000000">
        <w:rPr>
          <w:rtl w:val="0"/>
        </w:rPr>
      </w:r>
    </w:p>
    <w:p w:rsidR="00000000" w:rsidDel="00000000" w:rsidP="00000000" w:rsidRDefault="00000000" w:rsidRPr="00000000" w14:paraId="0000018A">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overlapping of phenotypes in Wiedemann-Steiner, Kleefstra ..., accessed June 26, 2025, </w:t>
      </w:r>
      <w:hyperlink r:id="rId57">
        <w:r w:rsidDel="00000000" w:rsidR="00000000" w:rsidRPr="00000000">
          <w:rPr>
            <w:rFonts w:ascii="Google Sans" w:cs="Google Sans" w:eastAsia="Google Sans" w:hAnsi="Google Sans"/>
            <w:color w:val="0000ee"/>
            <w:sz w:val="24"/>
            <w:szCs w:val="24"/>
            <w:u w:val="single"/>
            <w:rtl w:val="0"/>
          </w:rPr>
          <w:t xml:space="preserve">https://pmc.ncbi.nlm.nih.gov/articles/PMC11411858/</w:t>
        </w:r>
      </w:hyperlink>
      <w:r w:rsidDel="00000000" w:rsidR="00000000" w:rsidRPr="00000000">
        <w:rPr>
          <w:rtl w:val="0"/>
        </w:rPr>
      </w:r>
    </w:p>
    <w:p w:rsidR="00000000" w:rsidDel="00000000" w:rsidP="00000000" w:rsidRDefault="00000000" w:rsidRPr="00000000" w14:paraId="0000018B">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Germline Abnormalities in DNA Methylation and Histone ... - PubMed, accessed June 26, 2025, </w:t>
      </w:r>
      <w:hyperlink r:id="rId58">
        <w:r w:rsidDel="00000000" w:rsidR="00000000" w:rsidRPr="00000000">
          <w:rPr>
            <w:rFonts w:ascii="Google Sans" w:cs="Google Sans" w:eastAsia="Google Sans" w:hAnsi="Google Sans"/>
            <w:color w:val="0000ee"/>
            <w:sz w:val="24"/>
            <w:szCs w:val="24"/>
            <w:u w:val="single"/>
            <w:rtl w:val="0"/>
          </w:rPr>
          <w:t xml:space="preserve">https://pubmed.ncbi.nlm.nih.gov/35653077/</w:t>
        </w:r>
      </w:hyperlink>
      <w:r w:rsidDel="00000000" w:rsidR="00000000" w:rsidRPr="00000000">
        <w:rPr>
          <w:rtl w:val="0"/>
        </w:rPr>
      </w:r>
    </w:p>
    <w:p w:rsidR="00000000" w:rsidDel="00000000" w:rsidP="00000000" w:rsidRDefault="00000000" w:rsidRPr="00000000" w14:paraId="0000018C">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Mutated Chromatin Regulatory Factors as Tumor Drivers in Cancer ..., accessed June 26, 2025, </w:t>
      </w:r>
      <w:hyperlink r:id="rId59">
        <w:r w:rsidDel="00000000" w:rsidR="00000000" w:rsidRPr="00000000">
          <w:rPr>
            <w:rFonts w:ascii="Google Sans" w:cs="Google Sans" w:eastAsia="Google Sans" w:hAnsi="Google Sans"/>
            <w:color w:val="0000ee"/>
            <w:sz w:val="24"/>
            <w:szCs w:val="24"/>
            <w:u w:val="single"/>
            <w:rtl w:val="0"/>
          </w:rPr>
          <w:t xml:space="preserve">https://pmc.ncbi.nlm.nih.gov/articles/PMC5243833/</w:t>
        </w:r>
      </w:hyperlink>
      <w:r w:rsidDel="00000000" w:rsidR="00000000" w:rsidRPr="00000000">
        <w:rPr>
          <w:rtl w:val="0"/>
        </w:rPr>
      </w:r>
    </w:p>
    <w:p w:rsidR="00000000" w:rsidDel="00000000" w:rsidP="00000000" w:rsidRDefault="00000000" w:rsidRPr="00000000" w14:paraId="0000018D">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PCNA in Pan-Cancer: A Prognostic Biomarker Unveiled Through a Data-Driven, Multidimensional Analysis of Transcriptomics, Immunity, and Functional Profiling | ACS Omega, accessed June 26, 2025, </w:t>
      </w:r>
      <w:hyperlink r:id="rId60">
        <w:r w:rsidDel="00000000" w:rsidR="00000000" w:rsidRPr="00000000">
          <w:rPr>
            <w:rFonts w:ascii="Google Sans" w:cs="Google Sans" w:eastAsia="Google Sans" w:hAnsi="Google Sans"/>
            <w:color w:val="0000ee"/>
            <w:sz w:val="24"/>
            <w:szCs w:val="24"/>
            <w:u w:val="single"/>
            <w:rtl w:val="0"/>
          </w:rPr>
          <w:t xml:space="preserve">https://pubs.acs.org/doi/10.1021/acsomega.5c03331</w:t>
        </w:r>
      </w:hyperlink>
      <w:r w:rsidDel="00000000" w:rsidR="00000000" w:rsidRPr="00000000">
        <w:rPr>
          <w:rtl w:val="0"/>
        </w:rPr>
      </w:r>
    </w:p>
    <w:p w:rsidR="00000000" w:rsidDel="00000000" w:rsidP="00000000" w:rsidRDefault="00000000" w:rsidRPr="00000000" w14:paraId="0000018E">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piRNA-Mediated Maintenance of Genome Stability in Gametogenesis and Cancer - MDPI, accessed June 26, 2025, </w:t>
      </w:r>
      <w:hyperlink r:id="rId61">
        <w:r w:rsidDel="00000000" w:rsidR="00000000" w:rsidRPr="00000000">
          <w:rPr>
            <w:rFonts w:ascii="Google Sans" w:cs="Google Sans" w:eastAsia="Google Sans" w:hAnsi="Google Sans"/>
            <w:color w:val="0000ee"/>
            <w:sz w:val="24"/>
            <w:szCs w:val="24"/>
            <w:u w:val="single"/>
            <w:rtl w:val="0"/>
          </w:rPr>
          <w:t xml:space="preserve">https://www.mdpi.com/2073-4425/16/7/722</w:t>
        </w:r>
      </w:hyperlink>
      <w:r w:rsidDel="00000000" w:rsidR="00000000" w:rsidRPr="00000000">
        <w:rPr>
          <w:rtl w:val="0"/>
        </w:rPr>
      </w:r>
    </w:p>
    <w:p w:rsidR="00000000" w:rsidDel="00000000" w:rsidP="00000000" w:rsidRDefault="00000000" w:rsidRPr="00000000" w14:paraId="0000018F">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Targeting Chromatin-Remodeling Factors in Cancer Cells: Promising Molecules in Cancer Therapy - MDPI, accessed June 26, 2025, </w:t>
      </w:r>
      <w:hyperlink r:id="rId62">
        <w:r w:rsidDel="00000000" w:rsidR="00000000" w:rsidRPr="00000000">
          <w:rPr>
            <w:rFonts w:ascii="Google Sans" w:cs="Google Sans" w:eastAsia="Google Sans" w:hAnsi="Google Sans"/>
            <w:color w:val="0000ee"/>
            <w:sz w:val="24"/>
            <w:szCs w:val="24"/>
            <w:u w:val="single"/>
            <w:rtl w:val="0"/>
          </w:rPr>
          <w:t xml:space="preserve">https://www.mdpi.com/1422-0067/23/21/12815</w:t>
        </w:r>
      </w:hyperlink>
      <w:r w:rsidDel="00000000" w:rsidR="00000000" w:rsidRPr="00000000">
        <w:rPr>
          <w:rtl w:val="0"/>
        </w:rPr>
      </w:r>
    </w:p>
    <w:p w:rsidR="00000000" w:rsidDel="00000000" w:rsidP="00000000" w:rsidRDefault="00000000" w:rsidRPr="00000000" w14:paraId="00000190">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Remodeling and Neoplastic Cell Transformation - ResearchGate, accessed June 26, 2025, </w:t>
      </w:r>
      <w:hyperlink r:id="rId63">
        <w:r w:rsidDel="00000000" w:rsidR="00000000" w:rsidRPr="00000000">
          <w:rPr>
            <w:rFonts w:ascii="Google Sans" w:cs="Google Sans" w:eastAsia="Google Sans" w:hAnsi="Google Sans"/>
            <w:color w:val="0000ee"/>
            <w:sz w:val="24"/>
            <w:szCs w:val="24"/>
            <w:u w:val="single"/>
            <w:rtl w:val="0"/>
          </w:rPr>
          <w:t xml:space="preserve">https://www.researchgate.net/topic/Chromatin-Remodeling~Neoplastic-Cell-Transformation/publications</w:t>
        </w:r>
      </w:hyperlink>
      <w:r w:rsidDel="00000000" w:rsidR="00000000" w:rsidRPr="00000000">
        <w:rPr>
          <w:rtl w:val="0"/>
        </w:rPr>
      </w:r>
    </w:p>
    <w:p w:rsidR="00000000" w:rsidDel="00000000" w:rsidP="00000000" w:rsidRDefault="00000000" w:rsidRPr="00000000" w14:paraId="00000191">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Somatic mutation distributions in cancer genomes vary with three-dimensional chromatin structure - PubMed, accessed June 26, 2025, </w:t>
      </w:r>
      <w:hyperlink r:id="rId64">
        <w:r w:rsidDel="00000000" w:rsidR="00000000" w:rsidRPr="00000000">
          <w:rPr>
            <w:rFonts w:ascii="Google Sans" w:cs="Google Sans" w:eastAsia="Google Sans" w:hAnsi="Google Sans"/>
            <w:color w:val="0000ee"/>
            <w:sz w:val="24"/>
            <w:szCs w:val="24"/>
            <w:u w:val="single"/>
            <w:rtl w:val="0"/>
          </w:rPr>
          <w:t xml:space="preserve">https://pubmed.ncbi.nlm.nih.gov/33020667/</w:t>
        </w:r>
      </w:hyperlink>
      <w:r w:rsidDel="00000000" w:rsidR="00000000" w:rsidRPr="00000000">
        <w:rPr>
          <w:rtl w:val="0"/>
        </w:rPr>
      </w:r>
    </w:p>
    <w:p w:rsidR="00000000" w:rsidDel="00000000" w:rsidP="00000000" w:rsidRDefault="00000000" w:rsidRPr="00000000" w14:paraId="00000192">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Vaccine therapies for glioma: clinical frontiers and potential breakthrough, accessed June 26, 2025, </w:t>
      </w:r>
      <w:hyperlink r:id="rId65">
        <w:r w:rsidDel="00000000" w:rsidR="00000000" w:rsidRPr="00000000">
          <w:rPr>
            <w:rFonts w:ascii="Google Sans" w:cs="Google Sans" w:eastAsia="Google Sans" w:hAnsi="Google Sans"/>
            <w:color w:val="0000ee"/>
            <w:sz w:val="24"/>
            <w:szCs w:val="24"/>
            <w:u w:val="single"/>
            <w:rtl w:val="0"/>
          </w:rPr>
          <w:t xml:space="preserve">https://www.frontiersin.org/journals/oncology/articles/10.3389/fonc.2025.1613332/full</w:t>
        </w:r>
      </w:hyperlink>
      <w:r w:rsidDel="00000000" w:rsidR="00000000" w:rsidRPr="00000000">
        <w:rPr>
          <w:rtl w:val="0"/>
        </w:rPr>
      </w:r>
    </w:p>
    <w:p w:rsidR="00000000" w:rsidDel="00000000" w:rsidP="00000000" w:rsidRDefault="00000000" w:rsidRPr="00000000" w14:paraId="00000193">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mutations in cancer - PMC, accessed June 26, 2025, </w:t>
      </w:r>
      <w:hyperlink r:id="rId66">
        <w:r w:rsidDel="00000000" w:rsidR="00000000" w:rsidRPr="00000000">
          <w:rPr>
            <w:rFonts w:ascii="Google Sans" w:cs="Google Sans" w:eastAsia="Google Sans" w:hAnsi="Google Sans"/>
            <w:color w:val="0000ee"/>
            <w:sz w:val="24"/>
            <w:szCs w:val="24"/>
            <w:u w:val="single"/>
            <w:rtl w:val="0"/>
          </w:rPr>
          <w:t xml:space="preserve">https://pmc.ncbi.nlm.nih.gov/articles/PMC10657182/</w:t>
        </w:r>
      </w:hyperlink>
      <w:r w:rsidDel="00000000" w:rsidR="00000000" w:rsidRPr="00000000">
        <w:rPr>
          <w:rtl w:val="0"/>
        </w:rPr>
      </w:r>
    </w:p>
    <w:p w:rsidR="00000000" w:rsidDel="00000000" w:rsidP="00000000" w:rsidRDefault="00000000" w:rsidRPr="00000000" w14:paraId="00000194">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Somatic mosaicism and neurodevelopmental disease - Walsh Lab, accessed June 26, 2025, </w:t>
      </w:r>
      <w:hyperlink r:id="rId67">
        <w:r w:rsidDel="00000000" w:rsidR="00000000" w:rsidRPr="00000000">
          <w:rPr>
            <w:rFonts w:ascii="Google Sans" w:cs="Google Sans" w:eastAsia="Google Sans" w:hAnsi="Google Sans"/>
            <w:color w:val="0000ee"/>
            <w:sz w:val="24"/>
            <w:szCs w:val="24"/>
            <w:u w:val="single"/>
            <w:rtl w:val="0"/>
          </w:rPr>
          <w:t xml:space="preserve">https://walshlab.org/wp-content/uploads/2021/10/30349109.pdf</w:t>
        </w:r>
      </w:hyperlink>
      <w:r w:rsidDel="00000000" w:rsidR="00000000" w:rsidRPr="00000000">
        <w:rPr>
          <w:rtl w:val="0"/>
        </w:rPr>
      </w:r>
    </w:p>
    <w:p w:rsidR="00000000" w:rsidDel="00000000" w:rsidP="00000000" w:rsidRDefault="00000000" w:rsidRPr="00000000" w14:paraId="00000195">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Somatic mosaicism and neurodevelopmental disease - PubMed, accessed June 26, 2025, </w:t>
      </w:r>
      <w:hyperlink r:id="rId68">
        <w:r w:rsidDel="00000000" w:rsidR="00000000" w:rsidRPr="00000000">
          <w:rPr>
            <w:rFonts w:ascii="Google Sans" w:cs="Google Sans" w:eastAsia="Google Sans" w:hAnsi="Google Sans"/>
            <w:color w:val="0000ee"/>
            <w:sz w:val="24"/>
            <w:szCs w:val="24"/>
            <w:u w:val="single"/>
            <w:rtl w:val="0"/>
          </w:rPr>
          <w:t xml:space="preserve">https://pubmed.ncbi.nlm.nih.gov/30349109/</w:t>
        </w:r>
      </w:hyperlink>
      <w:r w:rsidDel="00000000" w:rsidR="00000000" w:rsidRPr="00000000">
        <w:rPr>
          <w:rtl w:val="0"/>
        </w:rPr>
      </w:r>
    </w:p>
    <w:p w:rsidR="00000000" w:rsidDel="00000000" w:rsidP="00000000" w:rsidRDefault="00000000" w:rsidRPr="00000000" w14:paraId="00000196">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role of somatic mosaicism in brain disease - PMC, accessed June 26, 2025, </w:t>
      </w:r>
      <w:hyperlink r:id="rId69">
        <w:r w:rsidDel="00000000" w:rsidR="00000000" w:rsidRPr="00000000">
          <w:rPr>
            <w:rFonts w:ascii="Google Sans" w:cs="Google Sans" w:eastAsia="Google Sans" w:hAnsi="Google Sans"/>
            <w:color w:val="0000ee"/>
            <w:sz w:val="24"/>
            <w:szCs w:val="24"/>
            <w:u w:val="single"/>
            <w:rtl w:val="0"/>
          </w:rPr>
          <w:t xml:space="preserve">https://pmc.ncbi.nlm.nih.gov/articles/PMC7749073/</w:t>
        </w:r>
      </w:hyperlink>
      <w:r w:rsidDel="00000000" w:rsidR="00000000" w:rsidRPr="00000000">
        <w:rPr>
          <w:rtl w:val="0"/>
        </w:rPr>
      </w:r>
    </w:p>
    <w:p w:rsidR="00000000" w:rsidDel="00000000" w:rsidP="00000000" w:rsidRDefault="00000000" w:rsidRPr="00000000" w14:paraId="00000197">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Somatic mosaicism in STAG2-associated cohesinopathies: Expansion of the genotypic and phenotypic spectrum - Frontiers, accessed June 26, 2025, </w:t>
      </w:r>
      <w:hyperlink r:id="rId70">
        <w:r w:rsidDel="00000000" w:rsidR="00000000" w:rsidRPr="00000000">
          <w:rPr>
            <w:rFonts w:ascii="Google Sans" w:cs="Google Sans" w:eastAsia="Google Sans" w:hAnsi="Google Sans"/>
            <w:color w:val="0000ee"/>
            <w:sz w:val="24"/>
            <w:szCs w:val="24"/>
            <w:u w:val="single"/>
            <w:rtl w:val="0"/>
          </w:rPr>
          <w:t xml:space="preserve">https://www.frontiersin.org/journals/cell-and-developmental-biology/articles/10.3389/fcell.2022.1025332/full</w:t>
        </w:r>
      </w:hyperlink>
      <w:r w:rsidDel="00000000" w:rsidR="00000000" w:rsidRPr="00000000">
        <w:rPr>
          <w:rtl w:val="0"/>
        </w:rPr>
      </w:r>
    </w:p>
    <w:p w:rsidR="00000000" w:rsidDel="00000000" w:rsidP="00000000" w:rsidRDefault="00000000" w:rsidRPr="00000000" w14:paraId="00000198">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EpiSignature Analysis, accessed June 26, 2025, </w:t>
      </w:r>
      <w:hyperlink r:id="rId71">
        <w:r w:rsidDel="00000000" w:rsidR="00000000" w:rsidRPr="00000000">
          <w:rPr>
            <w:rFonts w:ascii="Google Sans" w:cs="Google Sans" w:eastAsia="Google Sans" w:hAnsi="Google Sans"/>
            <w:color w:val="0000ee"/>
            <w:sz w:val="24"/>
            <w:szCs w:val="24"/>
            <w:u w:val="single"/>
            <w:rtl w:val="0"/>
          </w:rPr>
          <w:t xml:space="preserve">https://www.cincinnatichildrens.org/-/media/Cincinnati-Childrens/Home/service/d/diagnostic-labs/cytogenetics/tests/episignature-analysis-info-sheet.pdf</w:t>
        </w:r>
      </w:hyperlink>
      <w:r w:rsidDel="00000000" w:rsidR="00000000" w:rsidRPr="00000000">
        <w:rPr>
          <w:rtl w:val="0"/>
        </w:rPr>
      </w:r>
    </w:p>
    <w:p w:rsidR="00000000" w:rsidDel="00000000" w:rsidP="00000000" w:rsidRDefault="00000000" w:rsidRPr="00000000" w14:paraId="00000199">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DNA methylation episignature testing improves molecular diagnosis of Mendelian chromatinopathies - Bond's Library Search, accessed June 26, 2025, </w:t>
      </w:r>
      <w:hyperlink r:id="rId72">
        <w:r w:rsidDel="00000000" w:rsidR="00000000" w:rsidRPr="00000000">
          <w:rPr>
            <w:rFonts w:ascii="Google Sans" w:cs="Google Sans" w:eastAsia="Google Sans" w:hAnsi="Google Sans"/>
            <w:color w:val="0000ee"/>
            <w:sz w:val="24"/>
            <w:szCs w:val="24"/>
            <w:u w:val="single"/>
            <w:rtl w:val="0"/>
          </w:rPr>
          <w:t xml:space="preserve">https://librarysearch.bond.edu.au/discovery/fulldisplay?docid=cdi_proquest_miscellaneous_2610411283&amp;context=PC&amp;vid=61BOND_INST:BOND&amp;lang=en&amp;search_scope=Everything&amp;adaptor=Primo%20Central&amp;tab=Everything&amp;query=creator%2Cequals%2C%20Kerkhof%2C%20Jennifer%20%2CAND&amp;mode=advanced&amp;offset=40</w:t>
        </w:r>
      </w:hyperlink>
      <w:r w:rsidDel="00000000" w:rsidR="00000000" w:rsidRPr="00000000">
        <w:rPr>
          <w:rtl w:val="0"/>
        </w:rPr>
      </w:r>
    </w:p>
    <w:p w:rsidR="00000000" w:rsidDel="00000000" w:rsidP="00000000" w:rsidRDefault="00000000" w:rsidRPr="00000000" w14:paraId="0000019A">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DNA methylation episignature testing improves molecular diagnosis of Mendelian chromatinopathies - PubMed, accessed June 26, 2025, </w:t>
      </w:r>
      <w:hyperlink r:id="rId73">
        <w:r w:rsidDel="00000000" w:rsidR="00000000" w:rsidRPr="00000000">
          <w:rPr>
            <w:rFonts w:ascii="Google Sans" w:cs="Google Sans" w:eastAsia="Google Sans" w:hAnsi="Google Sans"/>
            <w:color w:val="0000ee"/>
            <w:sz w:val="24"/>
            <w:szCs w:val="24"/>
            <w:u w:val="single"/>
            <w:rtl w:val="0"/>
          </w:rPr>
          <w:t xml:space="preserve">https://pubmed.ncbi.nlm.nih.gov/34906459/</w:t>
        </w:r>
      </w:hyperlink>
      <w:r w:rsidDel="00000000" w:rsidR="00000000" w:rsidRPr="00000000">
        <w:rPr>
          <w:rtl w:val="0"/>
        </w:rPr>
      </w:r>
    </w:p>
    <w:p w:rsidR="00000000" w:rsidDel="00000000" w:rsidP="00000000" w:rsidRDefault="00000000" w:rsidRPr="00000000" w14:paraId="0000019B">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DNA methylation episignature testing improves molecular diagnosis of Mendelian chromatinopathies - Scholarship@Western, accessed June 26, 2025, </w:t>
      </w:r>
      <w:hyperlink r:id="rId74">
        <w:r w:rsidDel="00000000" w:rsidR="00000000" w:rsidRPr="00000000">
          <w:rPr>
            <w:rFonts w:ascii="Google Sans" w:cs="Google Sans" w:eastAsia="Google Sans" w:hAnsi="Google Sans"/>
            <w:color w:val="0000ee"/>
            <w:sz w:val="24"/>
            <w:szCs w:val="24"/>
            <w:u w:val="single"/>
            <w:rtl w:val="0"/>
          </w:rPr>
          <w:t xml:space="preserve">https://ir.lib.uwo.ca/paedpub/1816/</w:t>
        </w:r>
      </w:hyperlink>
      <w:r w:rsidDel="00000000" w:rsidR="00000000" w:rsidRPr="00000000">
        <w:rPr>
          <w:rtl w:val="0"/>
        </w:rPr>
      </w:r>
    </w:p>
    <w:p w:rsidR="00000000" w:rsidDel="00000000" w:rsidP="00000000" w:rsidRDefault="00000000" w:rsidRPr="00000000" w14:paraId="0000019C">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disorders: Lessons from the animals-animal models in chromatinopathies, accessed June 26, 2025, </w:t>
      </w:r>
      <w:hyperlink r:id="rId75">
        <w:r w:rsidDel="00000000" w:rsidR="00000000" w:rsidRPr="00000000">
          <w:rPr>
            <w:rFonts w:ascii="Google Sans" w:cs="Google Sans" w:eastAsia="Google Sans" w:hAnsi="Google Sans"/>
            <w:color w:val="0000ee"/>
            <w:sz w:val="24"/>
            <w:szCs w:val="24"/>
            <w:u w:val="single"/>
            <w:rtl w:val="0"/>
          </w:rPr>
          <w:t xml:space="preserve">https://pubmed.ncbi.nlm.nih.gov/36225316/</w:t>
        </w:r>
      </w:hyperlink>
      <w:r w:rsidDel="00000000" w:rsidR="00000000" w:rsidRPr="00000000">
        <w:rPr>
          <w:rtl w:val="0"/>
        </w:rPr>
      </w:r>
    </w:p>
    <w:p w:rsidR="00000000" w:rsidDel="00000000" w:rsidP="00000000" w:rsidRDefault="00000000" w:rsidRPr="00000000" w14:paraId="0000019D">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is Cornelia de Lange Syndrome? - News-Medical.net, accessed June 26, 2025, </w:t>
      </w:r>
      <w:hyperlink r:id="rId76">
        <w:r w:rsidDel="00000000" w:rsidR="00000000" w:rsidRPr="00000000">
          <w:rPr>
            <w:rFonts w:ascii="Google Sans" w:cs="Google Sans" w:eastAsia="Google Sans" w:hAnsi="Google Sans"/>
            <w:color w:val="0000ee"/>
            <w:sz w:val="24"/>
            <w:szCs w:val="24"/>
            <w:u w:val="single"/>
            <w:rtl w:val="0"/>
          </w:rPr>
          <w:t xml:space="preserve">https://www.news-medical.net/health/What-is-Cornelia-de-Lange-Syndrome.aspx</w:t>
        </w:r>
      </w:hyperlink>
      <w:r w:rsidDel="00000000" w:rsidR="00000000" w:rsidRPr="00000000">
        <w:rPr>
          <w:rtl w:val="0"/>
        </w:rPr>
      </w:r>
    </w:p>
    <w:p w:rsidR="00000000" w:rsidDel="00000000" w:rsidP="00000000" w:rsidRDefault="00000000" w:rsidRPr="00000000" w14:paraId="0000019E">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contribution to cancer - PubMed, accessed June 26, 2025, </w:t>
      </w:r>
      <w:hyperlink r:id="rId77">
        <w:r w:rsidDel="00000000" w:rsidR="00000000" w:rsidRPr="00000000">
          <w:rPr>
            <w:rFonts w:ascii="Google Sans" w:cs="Google Sans" w:eastAsia="Google Sans" w:hAnsi="Google Sans"/>
            <w:color w:val="0000ee"/>
            <w:sz w:val="24"/>
            <w:szCs w:val="24"/>
            <w:u w:val="single"/>
            <w:rtl w:val="0"/>
          </w:rPr>
          <w:t xml:space="preserve">https://pubmed.ncbi.nlm.nih.gov/39179345/</w:t>
        </w:r>
      </w:hyperlink>
      <w:r w:rsidDel="00000000" w:rsidR="00000000" w:rsidRPr="00000000">
        <w:rPr>
          <w:rtl w:val="0"/>
        </w:rPr>
      </w:r>
    </w:p>
    <w:p w:rsidR="00000000" w:rsidDel="00000000" w:rsidP="00000000" w:rsidRDefault="00000000" w:rsidRPr="00000000" w14:paraId="0000019F">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Novel Epigenetic Techniques Provided by the CRISPR/Cas9 System - PMC, accessed June 26, 2025, </w:t>
      </w:r>
      <w:hyperlink r:id="rId78">
        <w:r w:rsidDel="00000000" w:rsidR="00000000" w:rsidRPr="00000000">
          <w:rPr>
            <w:rFonts w:ascii="Google Sans" w:cs="Google Sans" w:eastAsia="Google Sans" w:hAnsi="Google Sans"/>
            <w:color w:val="0000ee"/>
            <w:sz w:val="24"/>
            <w:szCs w:val="24"/>
            <w:u w:val="single"/>
            <w:rtl w:val="0"/>
          </w:rPr>
          <w:t xml:space="preserve">https://pmc.ncbi.nlm.nih.gov/articles/PMC6079388/</w:t>
        </w:r>
      </w:hyperlink>
      <w:r w:rsidDel="00000000" w:rsidR="00000000" w:rsidRPr="00000000">
        <w:rPr>
          <w:rtl w:val="0"/>
        </w:rPr>
      </w:r>
    </w:p>
    <w:p w:rsidR="00000000" w:rsidDel="00000000" w:rsidP="00000000" w:rsidRDefault="00000000" w:rsidRPr="00000000" w14:paraId="000001A0">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editing for autosomal dominant neurological disorders - Frontiers, accessed June 26, 2025, </w:t>
      </w:r>
      <w:hyperlink r:id="rId79">
        <w:r w:rsidDel="00000000" w:rsidR="00000000" w:rsidRPr="00000000">
          <w:rPr>
            <w:rFonts w:ascii="Google Sans" w:cs="Google Sans" w:eastAsia="Google Sans" w:hAnsi="Google Sans"/>
            <w:color w:val="0000ee"/>
            <w:sz w:val="24"/>
            <w:szCs w:val="24"/>
            <w:u w:val="single"/>
            <w:rtl w:val="0"/>
          </w:rPr>
          <w:t xml:space="preserve">https://www.frontiersin.org/journals/genome-editing/articles/10.3389/fgeed.2024.1304110/full</w:t>
        </w:r>
      </w:hyperlink>
      <w:r w:rsidDel="00000000" w:rsidR="00000000" w:rsidRPr="00000000">
        <w:rPr>
          <w:rtl w:val="0"/>
        </w:rPr>
      </w:r>
    </w:p>
    <w:p w:rsidR="00000000" w:rsidDel="00000000" w:rsidP="00000000" w:rsidRDefault="00000000" w:rsidRPr="00000000" w14:paraId="000001A1">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CRISPRoff - the new frontier for reversible epigenetic editing - YouTube, accessed June 26, 2025, </w:t>
      </w:r>
      <w:hyperlink r:id="rId80">
        <w:r w:rsidDel="00000000" w:rsidR="00000000" w:rsidRPr="00000000">
          <w:rPr>
            <w:rFonts w:ascii="Google Sans" w:cs="Google Sans" w:eastAsia="Google Sans" w:hAnsi="Google Sans"/>
            <w:color w:val="0000ee"/>
            <w:sz w:val="24"/>
            <w:szCs w:val="24"/>
            <w:u w:val="single"/>
            <w:rtl w:val="0"/>
          </w:rPr>
          <w:t xml:space="preserve">https://www.youtube.com/watch?v=ey_fHallApE</w:t>
        </w:r>
      </w:hyperlink>
      <w:r w:rsidDel="00000000" w:rsidR="00000000" w:rsidRPr="00000000">
        <w:rPr>
          <w:rtl w:val="0"/>
        </w:rPr>
      </w:r>
    </w:p>
    <w:p w:rsidR="00000000" w:rsidDel="00000000" w:rsidP="00000000" w:rsidRDefault="00000000" w:rsidRPr="00000000" w14:paraId="000001A2">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Programmable transcriptional memory by CRISPR-mediated epigenome editing - YouTube, accessed June 26, 2025, </w:t>
      </w:r>
      <w:hyperlink r:id="rId81">
        <w:r w:rsidDel="00000000" w:rsidR="00000000" w:rsidRPr="00000000">
          <w:rPr>
            <w:rFonts w:ascii="Google Sans" w:cs="Google Sans" w:eastAsia="Google Sans" w:hAnsi="Google Sans"/>
            <w:color w:val="0000ee"/>
            <w:sz w:val="24"/>
            <w:szCs w:val="24"/>
            <w:u w:val="single"/>
            <w:rtl w:val="0"/>
          </w:rPr>
          <w:t xml:space="preserve">https://www.youtube.com/watch?v=RhvkUAeMSkQ</w:t>
        </w:r>
      </w:hyperlink>
      <w:r w:rsidDel="00000000" w:rsidR="00000000" w:rsidRPr="00000000">
        <w:rPr>
          <w:rtl w:val="0"/>
        </w:rPr>
      </w:r>
    </w:p>
    <w:p w:rsidR="00000000" w:rsidDel="00000000" w:rsidP="00000000" w:rsidRDefault="00000000" w:rsidRPr="00000000" w14:paraId="000001A3">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New CRISPR Technology Offers Unrivaled Control of Epigenetic Inheritance - UCSF, accessed June 26, 2025, </w:t>
      </w:r>
      <w:hyperlink r:id="rId82">
        <w:r w:rsidDel="00000000" w:rsidR="00000000" w:rsidRPr="00000000">
          <w:rPr>
            <w:rFonts w:ascii="Google Sans" w:cs="Google Sans" w:eastAsia="Google Sans" w:hAnsi="Google Sans"/>
            <w:color w:val="0000ee"/>
            <w:sz w:val="24"/>
            <w:szCs w:val="24"/>
            <w:u w:val="single"/>
            <w:rtl w:val="0"/>
          </w:rPr>
          <w:t xml:space="preserve">https://www.ucsf.edu/news/2021/04/420306/new-crispr-technology-offers-unrivaled-control-epigenetic-inheritance</w:t>
        </w:r>
      </w:hyperlink>
      <w:r w:rsidDel="00000000" w:rsidR="00000000" w:rsidRPr="00000000">
        <w:rPr>
          <w:rtl w:val="0"/>
        </w:rPr>
      </w:r>
    </w:p>
    <w:p w:rsidR="00000000" w:rsidDel="00000000" w:rsidP="00000000" w:rsidRDefault="00000000" w:rsidRPr="00000000" w14:paraId="000001A4">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Are The Challenges Of Developing Gene Therapies For Genetic Disorders? - Consensus Academic Search Engine, accessed June 26, 2025, </w:t>
      </w:r>
      <w:hyperlink r:id="rId83">
        <w:r w:rsidDel="00000000" w:rsidR="00000000" w:rsidRPr="00000000">
          <w:rPr>
            <w:rFonts w:ascii="Google Sans" w:cs="Google Sans" w:eastAsia="Google Sans" w:hAnsi="Google Sans"/>
            <w:color w:val="0000ee"/>
            <w:sz w:val="24"/>
            <w:szCs w:val="24"/>
            <w:u w:val="single"/>
            <w:rtl w:val="0"/>
          </w:rPr>
          <w:t xml:space="preserve">https://consensus.app/questions/what-challenges-developing-gene-therapies-genetic/</w:t>
        </w:r>
      </w:hyperlink>
      <w:r w:rsidDel="00000000" w:rsidR="00000000" w:rsidRPr="00000000">
        <w:rPr>
          <w:rtl w:val="0"/>
        </w:rPr>
      </w:r>
    </w:p>
    <w:p w:rsidR="00000000" w:rsidDel="00000000" w:rsidP="00000000" w:rsidRDefault="00000000" w:rsidRPr="00000000" w14:paraId="000001A5">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Gene therapy - Mayo Clinic, accessed June 26, 2025, </w:t>
      </w:r>
      <w:hyperlink r:id="rId84">
        <w:r w:rsidDel="00000000" w:rsidR="00000000" w:rsidRPr="00000000">
          <w:rPr>
            <w:rFonts w:ascii="Google Sans" w:cs="Google Sans" w:eastAsia="Google Sans" w:hAnsi="Google Sans"/>
            <w:color w:val="0000ee"/>
            <w:sz w:val="24"/>
            <w:szCs w:val="24"/>
            <w:u w:val="single"/>
            <w:rtl w:val="0"/>
          </w:rPr>
          <w:t xml:space="preserve">https://www.mayoclinic.org/tests-procedures/gene-therapy/about/pac-20384619</w:t>
        </w:r>
      </w:hyperlink>
      <w:r w:rsidDel="00000000" w:rsidR="00000000" w:rsidRPr="00000000">
        <w:rPr>
          <w:rtl w:val="0"/>
        </w:rPr>
      </w:r>
    </w:p>
    <w:p w:rsidR="00000000" w:rsidDel="00000000" w:rsidP="00000000" w:rsidRDefault="00000000" w:rsidRPr="00000000" w14:paraId="000001A6">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are some of the challenges faced by gene and cell therapists? - Pharmaseed, accessed June 26, 2025, </w:t>
      </w:r>
      <w:hyperlink r:id="rId85">
        <w:r w:rsidDel="00000000" w:rsidR="00000000" w:rsidRPr="00000000">
          <w:rPr>
            <w:rFonts w:ascii="Google Sans" w:cs="Google Sans" w:eastAsia="Google Sans" w:hAnsi="Google Sans"/>
            <w:color w:val="0000ee"/>
            <w:sz w:val="24"/>
            <w:szCs w:val="24"/>
            <w:u w:val="single"/>
            <w:rtl w:val="0"/>
          </w:rPr>
          <w:t xml:space="preserve">https://pharmaseedltd.com/what-are-some-of-the-challenges-faced-by-gene-and-cell-therapists/</w:t>
        </w:r>
      </w:hyperlink>
      <w:r w:rsidDel="00000000" w:rsidR="00000000" w:rsidRPr="00000000">
        <w:rPr>
          <w:rtl w:val="0"/>
        </w:rPr>
      </w:r>
    </w:p>
    <w:p w:rsidR="00000000" w:rsidDel="00000000" w:rsidP="00000000" w:rsidRDefault="00000000" w:rsidRPr="00000000" w14:paraId="000001A7">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Advanced Cellular Models for Rare Disease Study: Exploring Neural ..., accessed June 26, 2025, </w:t>
      </w:r>
      <w:hyperlink r:id="rId86">
        <w:r w:rsidDel="00000000" w:rsidR="00000000" w:rsidRPr="00000000">
          <w:rPr>
            <w:rFonts w:ascii="Google Sans" w:cs="Google Sans" w:eastAsia="Google Sans" w:hAnsi="Google Sans"/>
            <w:color w:val="0000ee"/>
            <w:sz w:val="24"/>
            <w:szCs w:val="24"/>
            <w:u w:val="single"/>
            <w:rtl w:val="0"/>
          </w:rPr>
          <w:t xml:space="preserve">https://pmc.ncbi.nlm.nih.gov/articles/PMC10815694/</w:t>
        </w:r>
      </w:hyperlink>
      <w:r w:rsidDel="00000000" w:rsidR="00000000" w:rsidRPr="00000000">
        <w:rPr>
          <w:rtl w:val="0"/>
        </w:rPr>
      </w:r>
    </w:p>
    <w:p w:rsidR="00000000" w:rsidDel="00000000" w:rsidP="00000000" w:rsidRDefault="00000000" w:rsidRPr="00000000" w14:paraId="000001A8">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Advanced Cellular Models for Rare Disease Study: Exploring Neural, Muscle and Skeletal Organoids - PubMed, accessed June 26, 2025, </w:t>
      </w:r>
      <w:hyperlink r:id="rId87">
        <w:r w:rsidDel="00000000" w:rsidR="00000000" w:rsidRPr="00000000">
          <w:rPr>
            <w:rFonts w:ascii="Google Sans" w:cs="Google Sans" w:eastAsia="Google Sans" w:hAnsi="Google Sans"/>
            <w:color w:val="0000ee"/>
            <w:sz w:val="24"/>
            <w:szCs w:val="24"/>
            <w:u w:val="single"/>
            <w:rtl w:val="0"/>
          </w:rPr>
          <w:t xml:space="preserve">https://pubmed.ncbi.nlm.nih.gov/38256087/</w:t>
        </w:r>
      </w:hyperlink>
      <w:r w:rsidDel="00000000" w:rsidR="00000000" w:rsidRPr="00000000">
        <w:rPr>
          <w:rtl w:val="0"/>
        </w:rPr>
      </w:r>
    </w:p>
    <w:p w:rsidR="00000000" w:rsidDel="00000000" w:rsidP="00000000" w:rsidRDefault="00000000" w:rsidRPr="00000000" w14:paraId="000001A9">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Organoids emerge as powerful tools for disease modeling and drug discovery, accessed June 26, 2025, </w:t>
      </w:r>
      <w:hyperlink r:id="rId88">
        <w:r w:rsidDel="00000000" w:rsidR="00000000" w:rsidRPr="00000000">
          <w:rPr>
            <w:rFonts w:ascii="Google Sans" w:cs="Google Sans" w:eastAsia="Google Sans" w:hAnsi="Google Sans"/>
            <w:color w:val="0000ee"/>
            <w:sz w:val="24"/>
            <w:szCs w:val="24"/>
            <w:u w:val="single"/>
            <w:rtl w:val="0"/>
          </w:rPr>
          <w:t xml:space="preserve">https://www.broadinstitute.org/news/organoids-emerge-powerful-tools-disease-modeling-and-drug-discovery</w:t>
        </w:r>
      </w:hyperlink>
      <w:r w:rsidDel="00000000" w:rsidR="00000000" w:rsidRPr="00000000">
        <w:rPr>
          <w:rtl w:val="0"/>
        </w:rPr>
      </w:r>
    </w:p>
    <w:p w:rsidR="00000000" w:rsidDel="00000000" w:rsidP="00000000" w:rsidRDefault="00000000" w:rsidRPr="00000000" w14:paraId="000001AA">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Research Progress, Challenges, and Breakthroughs of Organoids as Disease Models, accessed June 26, 2025, </w:t>
      </w:r>
      <w:hyperlink r:id="rId89">
        <w:r w:rsidDel="00000000" w:rsidR="00000000" w:rsidRPr="00000000">
          <w:rPr>
            <w:rFonts w:ascii="Google Sans" w:cs="Google Sans" w:eastAsia="Google Sans" w:hAnsi="Google Sans"/>
            <w:color w:val="0000ee"/>
            <w:sz w:val="24"/>
            <w:szCs w:val="24"/>
            <w:u w:val="single"/>
            <w:rtl w:val="0"/>
          </w:rPr>
          <w:t xml:space="preserve">https://www.frontiersin.org/journals/cell-and-developmental-biology/articles/10.3389/fcell.2021.740574/full</w:t>
        </w:r>
      </w:hyperlink>
      <w:r w:rsidDel="00000000" w:rsidR="00000000" w:rsidRPr="00000000">
        <w:rPr>
          <w:rtl w:val="0"/>
        </w:rPr>
      </w:r>
    </w:p>
    <w:p w:rsidR="00000000" w:rsidDel="00000000" w:rsidP="00000000" w:rsidRDefault="00000000" w:rsidRPr="00000000" w14:paraId="000001AB">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Advances in the study of gastric organoids as disease models, accessed June 26, 2025, </w:t>
      </w:r>
      <w:hyperlink r:id="rId90">
        <w:r w:rsidDel="00000000" w:rsidR="00000000" w:rsidRPr="00000000">
          <w:rPr>
            <w:rFonts w:ascii="Google Sans" w:cs="Google Sans" w:eastAsia="Google Sans" w:hAnsi="Google Sans"/>
            <w:color w:val="0000ee"/>
            <w:sz w:val="24"/>
            <w:szCs w:val="24"/>
            <w:u w:val="single"/>
            <w:rtl w:val="0"/>
          </w:rPr>
          <w:t xml:space="preserve">https://www.wjgnet.com/1948-5204/full/v16/i5/1725.htm</w:t>
        </w:r>
      </w:hyperlink>
      <w:r w:rsidDel="00000000" w:rsidR="00000000" w:rsidRPr="00000000">
        <w:rPr>
          <w:rtl w:val="0"/>
        </w:rPr>
      </w:r>
    </w:p>
    <w:p w:rsidR="00000000" w:rsidDel="00000000" w:rsidP="00000000" w:rsidRDefault="00000000" w:rsidRPr="00000000" w14:paraId="000001AC">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is Multiomics? - News-Medical.net, accessed June 26, 2025, </w:t>
      </w:r>
      <w:hyperlink r:id="rId91">
        <w:r w:rsidDel="00000000" w:rsidR="00000000" w:rsidRPr="00000000">
          <w:rPr>
            <w:rFonts w:ascii="Google Sans" w:cs="Google Sans" w:eastAsia="Google Sans" w:hAnsi="Google Sans"/>
            <w:color w:val="0000ee"/>
            <w:sz w:val="24"/>
            <w:szCs w:val="24"/>
            <w:u w:val="single"/>
            <w:rtl w:val="0"/>
          </w:rPr>
          <w:t xml:space="preserve">https://www.news-medical.net/life-sciences/What-is-Multiomics.aspx</w:t>
        </w:r>
      </w:hyperlink>
      <w:r w:rsidDel="00000000" w:rsidR="00000000" w:rsidRPr="00000000">
        <w:rPr>
          <w:rtl w:val="0"/>
        </w:rPr>
      </w:r>
    </w:p>
    <w:p w:rsidR="00000000" w:rsidDel="00000000" w:rsidP="00000000" w:rsidRDefault="00000000" w:rsidRPr="00000000" w14:paraId="000001AD">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Multi-omics Approaches to Disease - ResearchGate, accessed June 26, 2025, </w:t>
      </w:r>
      <w:hyperlink r:id="rId92">
        <w:r w:rsidDel="00000000" w:rsidR="00000000" w:rsidRPr="00000000">
          <w:rPr>
            <w:rFonts w:ascii="Google Sans" w:cs="Google Sans" w:eastAsia="Google Sans" w:hAnsi="Google Sans"/>
            <w:color w:val="0000ee"/>
            <w:sz w:val="24"/>
            <w:szCs w:val="24"/>
            <w:u w:val="single"/>
            <w:rtl w:val="0"/>
          </w:rPr>
          <w:t xml:space="preserve">https://www.researchgate.net/publication/316746666_Multi-omics_Approaches_to_Disease</w:t>
        </w:r>
      </w:hyperlink>
      <w:r w:rsidDel="00000000" w:rsidR="00000000" w:rsidRPr="00000000">
        <w:rPr>
          <w:rtl w:val="0"/>
        </w:rPr>
      </w:r>
    </w:p>
    <w:p w:rsidR="00000000" w:rsidDel="00000000" w:rsidP="00000000" w:rsidRDefault="00000000" w:rsidRPr="00000000" w14:paraId="000001AE">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omics era: a nexus of untapped potential for Mendelian chromatinopathies - PubMed, accessed June 26, 2025, </w:t>
      </w:r>
      <w:hyperlink r:id="rId93">
        <w:r w:rsidDel="00000000" w:rsidR="00000000" w:rsidRPr="00000000">
          <w:rPr>
            <w:rFonts w:ascii="Google Sans" w:cs="Google Sans" w:eastAsia="Google Sans" w:hAnsi="Google Sans"/>
            <w:color w:val="0000ee"/>
            <w:sz w:val="24"/>
            <w:szCs w:val="24"/>
            <w:u w:val="single"/>
            <w:rtl w:val="0"/>
          </w:rPr>
          <w:t xml:space="preserve">https://pubmed.ncbi.nlm.nih.gov/37115317/</w:t>
        </w:r>
      </w:hyperlink>
      <w:r w:rsidDel="00000000" w:rsidR="00000000" w:rsidRPr="00000000">
        <w:rPr>
          <w:rtl w:val="0"/>
        </w:rPr>
      </w:r>
    </w:p>
    <w:p w:rsidR="00000000" w:rsidDel="00000000" w:rsidP="00000000" w:rsidRDefault="00000000" w:rsidRPr="00000000" w14:paraId="000001AF">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Intrauterine growth in chromatinopathies: A long road for better understanding and for improving clinical management | Request PDF - ResearchGate, accessed June 26, 2025, </w:t>
      </w:r>
      <w:hyperlink r:id="rId94">
        <w:r w:rsidDel="00000000" w:rsidR="00000000" w:rsidRPr="00000000">
          <w:rPr>
            <w:rFonts w:ascii="Google Sans" w:cs="Google Sans" w:eastAsia="Google Sans" w:hAnsi="Google Sans"/>
            <w:color w:val="0000ee"/>
            <w:sz w:val="24"/>
            <w:szCs w:val="24"/>
            <w:u w:val="single"/>
            <w:rtl w:val="0"/>
          </w:rPr>
          <w:t xml:space="preserve">https://www.researchgate.net/publication/382147097_Intrauterine_growth_in_chromatinopathies_A_long_road_for_better_understanding_and_for_improving_clinical_management</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mdpi.com/2077-0383/13/8/2423" TargetMode="External"/><Relationship Id="rId84" Type="http://schemas.openxmlformats.org/officeDocument/2006/relationships/hyperlink" Target="https://www.mayoclinic.org/tests-procedures/gene-therapy/about/pac-20384619" TargetMode="External"/><Relationship Id="rId83" Type="http://schemas.openxmlformats.org/officeDocument/2006/relationships/hyperlink" Target="https://consensus.app/questions/what-challenges-developing-gene-therapies-genetic/" TargetMode="External"/><Relationship Id="rId42" Type="http://schemas.openxmlformats.org/officeDocument/2006/relationships/hyperlink" Target="https://apcz.umk.pl/JEHS/article/download/57074/41138/171545" TargetMode="External"/><Relationship Id="rId86" Type="http://schemas.openxmlformats.org/officeDocument/2006/relationships/hyperlink" Target="https://pmc.ncbi.nlm.nih.gov/articles/PMC10815694/" TargetMode="External"/><Relationship Id="rId41" Type="http://schemas.openxmlformats.org/officeDocument/2006/relationships/hyperlink" Target="https://www.ncbi.nlm.nih.gov/books/NBK482252/" TargetMode="External"/><Relationship Id="rId85" Type="http://schemas.openxmlformats.org/officeDocument/2006/relationships/hyperlink" Target="https://pharmaseedltd.com/what-are-some-of-the-challenges-faced-by-gene-and-cell-therapists/" TargetMode="External"/><Relationship Id="rId44" Type="http://schemas.openxmlformats.org/officeDocument/2006/relationships/hyperlink" Target="https://www.rettsyndrome.org/about-rett-syndrome/understanding-rett-syndrome/" TargetMode="External"/><Relationship Id="rId88" Type="http://schemas.openxmlformats.org/officeDocument/2006/relationships/hyperlink" Target="https://www.broadinstitute.org/news/organoids-emerge-powerful-tools-disease-modeling-and-drug-discovery" TargetMode="External"/><Relationship Id="rId43" Type="http://schemas.openxmlformats.org/officeDocument/2006/relationships/hyperlink" Target="https://www.frontiersin.org/journals/sleep/articles/10.3389/frsle.2024.1373489/full" TargetMode="External"/><Relationship Id="rId87" Type="http://schemas.openxmlformats.org/officeDocument/2006/relationships/hyperlink" Target="https://pubmed.ncbi.nlm.nih.gov/38256087/" TargetMode="External"/><Relationship Id="rId46" Type="http://schemas.openxmlformats.org/officeDocument/2006/relationships/hyperlink" Target="https://medlineplus.gov/genetics/condition/rett-syndrome/" TargetMode="External"/><Relationship Id="rId45" Type="http://schemas.openxmlformats.org/officeDocument/2006/relationships/hyperlink" Target="https://pmc.ncbi.nlm.nih.gov/articles/PMC6402579/" TargetMode="External"/><Relationship Id="rId89" Type="http://schemas.openxmlformats.org/officeDocument/2006/relationships/hyperlink" Target="https://www.frontiersin.org/journals/cell-and-developmental-biology/articles/10.3389/fcell.2021.740574/full" TargetMode="External"/><Relationship Id="rId80" Type="http://schemas.openxmlformats.org/officeDocument/2006/relationships/hyperlink" Target="https://www.youtube.com/watch?v=ey_fHallApE" TargetMode="External"/><Relationship Id="rId82" Type="http://schemas.openxmlformats.org/officeDocument/2006/relationships/hyperlink" Target="https://www.ucsf.edu/news/2021/04/420306/new-crispr-technology-offers-unrivaled-control-epigenetic-inheritance" TargetMode="External"/><Relationship Id="rId81" Type="http://schemas.openxmlformats.org/officeDocument/2006/relationships/hyperlink" Target="https://www.youtube.com/watch?v=RhvkUAeMSkQ"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mc.ncbi.nlm.nih.gov/articles/PMC10984715/" TargetMode="External"/><Relationship Id="rId48" Type="http://schemas.openxmlformats.org/officeDocument/2006/relationships/hyperlink" Target="https://rarediseases.org/rare-diseases/rett-syndrome/" TargetMode="External"/><Relationship Id="rId47" Type="http://schemas.openxmlformats.org/officeDocument/2006/relationships/hyperlink" Target="https://www.ncbi.nlm.nih.gov/books/NBK1497/" TargetMode="External"/><Relationship Id="rId49" Type="http://schemas.openxmlformats.org/officeDocument/2006/relationships/hyperlink" Target="https://pmc.ncbi.nlm.nih.gov/articles/PMC8064399/" TargetMode="External"/><Relationship Id="rId5" Type="http://schemas.openxmlformats.org/officeDocument/2006/relationships/styles" Target="styles.xml"/><Relationship Id="rId6" Type="http://schemas.openxmlformats.org/officeDocument/2006/relationships/hyperlink" Target="https://pmc.ncbi.nlm.nih.gov/articles/PMC11003913/" TargetMode="External"/><Relationship Id="rId7" Type="http://schemas.openxmlformats.org/officeDocument/2006/relationships/hyperlink" Target="https://www.researchgate.net/publication/377159021_Chromatinopathies_insight_in_clinical_aspects_and_underlying_epigenetic_changes" TargetMode="External"/><Relationship Id="rId8" Type="http://schemas.openxmlformats.org/officeDocument/2006/relationships/hyperlink" Target="https://www.frontiersin.org/journals/cell-and-developmental-biology/articles/10.3389/fcell.2022.979512/full" TargetMode="External"/><Relationship Id="rId73" Type="http://schemas.openxmlformats.org/officeDocument/2006/relationships/hyperlink" Target="https://pubmed.ncbi.nlm.nih.gov/34906459/" TargetMode="External"/><Relationship Id="rId72" Type="http://schemas.openxmlformats.org/officeDocument/2006/relationships/hyperlink" Target="https://librarysearch.bond.edu.au/discovery/fulldisplay?docid=cdi_proquest_miscellaneous_2610411283&amp;context=PC&amp;vid=61BOND_INST:BOND&amp;lang=en&amp;search_scope=Everything&amp;adaptor=Primo+Central&amp;tab=Everything&amp;query=creator,equals,+Kerkhof,+Jennifer+,AND&amp;mode=advanced&amp;offset=40" TargetMode="External"/><Relationship Id="rId31" Type="http://schemas.openxmlformats.org/officeDocument/2006/relationships/hyperlink" Target="https://pubmed.ncbi.nlm.nih.gov/34803598/" TargetMode="External"/><Relationship Id="rId75" Type="http://schemas.openxmlformats.org/officeDocument/2006/relationships/hyperlink" Target="https://pubmed.ncbi.nlm.nih.gov/36225316/" TargetMode="External"/><Relationship Id="rId30" Type="http://schemas.openxmlformats.org/officeDocument/2006/relationships/hyperlink" Target="https://pubmed.ncbi.nlm.nih.gov/31721174/" TargetMode="External"/><Relationship Id="rId74" Type="http://schemas.openxmlformats.org/officeDocument/2006/relationships/hyperlink" Target="https://ir.lib.uwo.ca/paedpub/1816/" TargetMode="External"/><Relationship Id="rId33" Type="http://schemas.openxmlformats.org/officeDocument/2006/relationships/hyperlink" Target="https://www.childrenshospital.org/conditions/cornelia-de-lange-syndrome" TargetMode="External"/><Relationship Id="rId77" Type="http://schemas.openxmlformats.org/officeDocument/2006/relationships/hyperlink" Target="https://pubmed.ncbi.nlm.nih.gov/39179345/" TargetMode="External"/><Relationship Id="rId32" Type="http://schemas.openxmlformats.org/officeDocument/2006/relationships/hyperlink" Target="https://academic.oup.com/hmg/article/29/R1/R42/5882585" TargetMode="External"/><Relationship Id="rId76" Type="http://schemas.openxmlformats.org/officeDocument/2006/relationships/hyperlink" Target="https://www.news-medical.net/health/What-is-Cornelia-de-Lange-Syndrome.aspx" TargetMode="External"/><Relationship Id="rId35" Type="http://schemas.openxmlformats.org/officeDocument/2006/relationships/hyperlink" Target="https://www.chop.edu/conditions-diseases/cornelia-de-lange-syndrome" TargetMode="External"/><Relationship Id="rId79" Type="http://schemas.openxmlformats.org/officeDocument/2006/relationships/hyperlink" Target="https://www.frontiersin.org/journals/genome-editing/articles/10.3389/fgeed.2024.1304110/full" TargetMode="External"/><Relationship Id="rId34" Type="http://schemas.openxmlformats.org/officeDocument/2006/relationships/hyperlink" Target="https://www.e-kjgm.org/journal/view.html?uid=352&amp;&amp;vmd=Full" TargetMode="External"/><Relationship Id="rId78" Type="http://schemas.openxmlformats.org/officeDocument/2006/relationships/hyperlink" Target="https://pmc.ncbi.nlm.nih.gov/articles/PMC6079388/" TargetMode="External"/><Relationship Id="rId71" Type="http://schemas.openxmlformats.org/officeDocument/2006/relationships/hyperlink" Target="https://www.cincinnatichildrens.org/-/media/Cincinnati-Childrens/Home/service/d/diagnostic-labs/cytogenetics/tests/episignature-analysis-info-sheet.pdf" TargetMode="External"/><Relationship Id="rId70" Type="http://schemas.openxmlformats.org/officeDocument/2006/relationships/hyperlink" Target="https://www.frontiersin.org/journals/cell-and-developmental-biology/articles/10.3389/fcell.2022.1025332/full" TargetMode="External"/><Relationship Id="rId37" Type="http://schemas.openxmlformats.org/officeDocument/2006/relationships/hyperlink" Target="https://www.ncbi.nlm.nih.gov/books/NBK554584/" TargetMode="External"/><Relationship Id="rId36" Type="http://schemas.openxmlformats.org/officeDocument/2006/relationships/hyperlink" Target="https://medlineplus.gov/genetics/condition/cornelia-de-lange-syndrome/" TargetMode="External"/><Relationship Id="rId39" Type="http://schemas.openxmlformats.org/officeDocument/2006/relationships/hyperlink" Target="https://www.preprints.org/manuscript/202402.0646/v1" TargetMode="External"/><Relationship Id="rId38" Type="http://schemas.openxmlformats.org/officeDocument/2006/relationships/hyperlink" Target="https://rarediseases.org/rare-diseases/cornelia-de-lange-syndrome/" TargetMode="External"/><Relationship Id="rId62" Type="http://schemas.openxmlformats.org/officeDocument/2006/relationships/hyperlink" Target="https://www.mdpi.com/1422-0067/23/21/12815" TargetMode="External"/><Relationship Id="rId61" Type="http://schemas.openxmlformats.org/officeDocument/2006/relationships/hyperlink" Target="https://www.mdpi.com/2073-4425/16/7/722" TargetMode="External"/><Relationship Id="rId20" Type="http://schemas.openxmlformats.org/officeDocument/2006/relationships/hyperlink" Target="https://pmc.ncbi.nlm.nih.gov/articles/PMC8004494/" TargetMode="External"/><Relationship Id="rId64" Type="http://schemas.openxmlformats.org/officeDocument/2006/relationships/hyperlink" Target="https://pubmed.ncbi.nlm.nih.gov/33020667/" TargetMode="External"/><Relationship Id="rId63" Type="http://schemas.openxmlformats.org/officeDocument/2006/relationships/hyperlink" Target="https://www.researchgate.net/topic/Chromatin-Remodeling~Neoplastic-Cell-Transformation/publications" TargetMode="External"/><Relationship Id="rId22" Type="http://schemas.openxmlformats.org/officeDocument/2006/relationships/hyperlink" Target="https://www.mdpi.com/journal/cells/special_issues/Chromatinopathies" TargetMode="External"/><Relationship Id="rId66" Type="http://schemas.openxmlformats.org/officeDocument/2006/relationships/hyperlink" Target="https://pmc.ncbi.nlm.nih.gov/articles/PMC10657182/" TargetMode="External"/><Relationship Id="rId21" Type="http://schemas.openxmlformats.org/officeDocument/2006/relationships/hyperlink" Target="https://www.frontiersin.org/journals/neuroscience/articles/10.3389/fnins.2021.774950/full" TargetMode="External"/><Relationship Id="rId65" Type="http://schemas.openxmlformats.org/officeDocument/2006/relationships/hyperlink" Target="https://www.frontiersin.org/journals/oncology/articles/10.3389/fonc.2025.1613332/full" TargetMode="External"/><Relationship Id="rId24" Type="http://schemas.openxmlformats.org/officeDocument/2006/relationships/hyperlink" Target="https://www.mdpi.com/2073-4425/14/6/1241" TargetMode="External"/><Relationship Id="rId68" Type="http://schemas.openxmlformats.org/officeDocument/2006/relationships/hyperlink" Target="https://pubmed.ncbi.nlm.nih.gov/30349109/" TargetMode="External"/><Relationship Id="rId23" Type="http://schemas.openxmlformats.org/officeDocument/2006/relationships/hyperlink" Target="https://pmc.ncbi.nlm.nih.gov/articles/PMC10034257/" TargetMode="External"/><Relationship Id="rId67" Type="http://schemas.openxmlformats.org/officeDocument/2006/relationships/hyperlink" Target="https://walshlab.org/wp-content/uploads/2021/10/30349109.pdf" TargetMode="External"/><Relationship Id="rId60" Type="http://schemas.openxmlformats.org/officeDocument/2006/relationships/hyperlink" Target="https://pubs.acs.org/doi/10.1021/acsomega.5c03331" TargetMode="External"/><Relationship Id="rId26" Type="http://schemas.openxmlformats.org/officeDocument/2006/relationships/hyperlink" Target="https://www.researchgate.net/publication/336280533_Kabuki_syndrome_review_of_the_clinical_features_diagnosis_and_epigenetic_mechanisms" TargetMode="External"/><Relationship Id="rId25" Type="http://schemas.openxmlformats.org/officeDocument/2006/relationships/hyperlink" Target="https://pubmed.ncbi.nlm.nih.gov/39336746/" TargetMode="External"/><Relationship Id="rId69" Type="http://schemas.openxmlformats.org/officeDocument/2006/relationships/hyperlink" Target="https://pmc.ncbi.nlm.nih.gov/articles/PMC7749073/" TargetMode="External"/><Relationship Id="rId28" Type="http://schemas.openxmlformats.org/officeDocument/2006/relationships/hyperlink" Target="https://www.frontiersin.org/journals/neuroscience/articles/10.3389/fnins.2021.774950/pdf" TargetMode="External"/><Relationship Id="rId27" Type="http://schemas.openxmlformats.org/officeDocument/2006/relationships/hyperlink" Target="https://www.ncbi.nlm.nih.gov/books/NBK1104/" TargetMode="External"/><Relationship Id="rId29" Type="http://schemas.openxmlformats.org/officeDocument/2006/relationships/hyperlink" Target="https://pmc.ncbi.nlm.nih.gov/articles/PMC8603810/" TargetMode="External"/><Relationship Id="rId51" Type="http://schemas.openxmlformats.org/officeDocument/2006/relationships/hyperlink" Target="https://www.dovepress.com/insights-into-the-molecular-genetics-of-kabuki-syndrome-peer-reviewed-fulltext-article-AGG" TargetMode="External"/><Relationship Id="rId50" Type="http://schemas.openxmlformats.org/officeDocument/2006/relationships/hyperlink" Target="https://www.mdpi.com/2073-4425/13/10/1761" TargetMode="External"/><Relationship Id="rId94" Type="http://schemas.openxmlformats.org/officeDocument/2006/relationships/hyperlink" Target="https://www.researchgate.net/publication/382147097_Intrauterine_growth_in_chromatinopathies_A_long_road_for_better_understanding_and_for_improving_clinical_management" TargetMode="External"/><Relationship Id="rId53" Type="http://schemas.openxmlformats.org/officeDocument/2006/relationships/hyperlink" Target="https://en.wikipedia.org/wiki/Kabuki_syndrome" TargetMode="External"/><Relationship Id="rId52" Type="http://schemas.openxmlformats.org/officeDocument/2006/relationships/hyperlink" Target="https://www.ncbi.nlm.nih.gov/books/NBK604465/" TargetMode="External"/><Relationship Id="rId11" Type="http://schemas.openxmlformats.org/officeDocument/2006/relationships/hyperlink" Target="https://www.researchgate.net/publication/369856871_DNA_methylation_signatures_for_chromatinopathies_current_challenges_and_future_applications" TargetMode="External"/><Relationship Id="rId55" Type="http://schemas.openxmlformats.org/officeDocument/2006/relationships/hyperlink" Target="https://www.ncbi.nlm.nih.gov/books/NBK62111/" TargetMode="External"/><Relationship Id="rId10" Type="http://schemas.openxmlformats.org/officeDocument/2006/relationships/hyperlink" Target="https://pmc.ncbi.nlm.nih.gov/articles/PMC9548571/" TargetMode="External"/><Relationship Id="rId54" Type="http://schemas.openxmlformats.org/officeDocument/2006/relationships/hyperlink" Target="https://www.e-cep.org/journal/view.php?doi=10.3345/kjp.2015.58.9.317" TargetMode="External"/><Relationship Id="rId13" Type="http://schemas.openxmlformats.org/officeDocument/2006/relationships/hyperlink" Target="https://www.researchgate.net/publication/380126723_Chromatinopathies_-_from_discovery_to_clinical_diagnosis_in_the_real_world" TargetMode="External"/><Relationship Id="rId57" Type="http://schemas.openxmlformats.org/officeDocument/2006/relationships/hyperlink" Target="https://pmc.ncbi.nlm.nih.gov/articles/PMC11411858/" TargetMode="External"/><Relationship Id="rId12" Type="http://schemas.openxmlformats.org/officeDocument/2006/relationships/hyperlink" Target="https://pmc.ncbi.nlm.nih.gov/articles/PMC11078831/" TargetMode="External"/><Relationship Id="rId56" Type="http://schemas.openxmlformats.org/officeDocument/2006/relationships/hyperlink" Target="https://www.researchgate.net/publication/384149017_The_overlapping_of_phenotypes_in_Wiedemann-Steiner_Kleefstra_and_Coffin-Siris_syndromes_a_study_of_eleven_patients?_tp=eyJjb250ZXh0Ijp7InBhZ2UiOiJzY2llbnRpZmljQ29udHJpYnV0aW9ucyIsInByZXZpb3VzUGFnZSI6bnVsbCwic3ViUGFnZSI6bnVsbH19" TargetMode="External"/><Relationship Id="rId91" Type="http://schemas.openxmlformats.org/officeDocument/2006/relationships/hyperlink" Target="https://www.news-medical.net/life-sciences/What-is-Multiomics.aspx" TargetMode="External"/><Relationship Id="rId90" Type="http://schemas.openxmlformats.org/officeDocument/2006/relationships/hyperlink" Target="https://www.wjgnet.com/1948-5204/full/v16/i5/1725.htm" TargetMode="External"/><Relationship Id="rId93" Type="http://schemas.openxmlformats.org/officeDocument/2006/relationships/hyperlink" Target="https://pubmed.ncbi.nlm.nih.gov/37115317/" TargetMode="External"/><Relationship Id="rId92" Type="http://schemas.openxmlformats.org/officeDocument/2006/relationships/hyperlink" Target="https://www.researchgate.net/publication/316746666_Multi-omics_Approaches_to_Disease" TargetMode="External"/><Relationship Id="rId15" Type="http://schemas.openxmlformats.org/officeDocument/2006/relationships/hyperlink" Target="https://medlineplus.gov/genetics/condition/kabuki-syndrome/" TargetMode="External"/><Relationship Id="rId59" Type="http://schemas.openxmlformats.org/officeDocument/2006/relationships/hyperlink" Target="https://pmc.ncbi.nlm.nih.gov/articles/PMC5243833/" TargetMode="External"/><Relationship Id="rId14" Type="http://schemas.openxmlformats.org/officeDocument/2006/relationships/hyperlink" Target="https://pmc.ncbi.nlm.nih.gov/articles/PMC11078811/" TargetMode="External"/><Relationship Id="rId58" Type="http://schemas.openxmlformats.org/officeDocument/2006/relationships/hyperlink" Target="https://pubmed.ncbi.nlm.nih.gov/35653077/" TargetMode="External"/><Relationship Id="rId17" Type="http://schemas.openxmlformats.org/officeDocument/2006/relationships/hyperlink" Target="https://pmc.ncbi.nlm.nih.gov/articles/PMC7530535/" TargetMode="External"/><Relationship Id="rId16" Type="http://schemas.openxmlformats.org/officeDocument/2006/relationships/hyperlink" Target="https://www.mdpi.com/1422-0067/22/11/5578" TargetMode="External"/><Relationship Id="rId19" Type="http://schemas.openxmlformats.org/officeDocument/2006/relationships/hyperlink" Target="https://pmc.ncbi.nlm.nih.gov/articles/PMC3590802/" TargetMode="External"/><Relationship Id="rId18" Type="http://schemas.openxmlformats.org/officeDocument/2006/relationships/hyperlink" Target="https://pmc.ncbi.nlm.nih.gov/articles/PMC2802667/"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