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Illuminating the Nanoscale: An Ultrastructural Review of Nuclear Bodies and Condensates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The Compartmentalized Nucleus and the Rise of Condensates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The Eukaryotic Nucleus: A Highly Organized Organelle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eukaryotic nucleus stands as the defining organelle of eukaryotic cells, a sophisticated command center that houses the organism's genome. Beyond its primary role in safeguarding genetic material, the nucleus is the principal site for fundamental cellular processes, including DNA replication, transcription, and RNA processing. Historically, the nuclear envelope was recognized as the main boundary defining this compartment. However, it has become increasingly clear that the nuclear interior is itself highly organized, featuring a complex landscape of functional domains that are not delineated by membranes. This internal compartmentalization is crucial for the spatial and temporal regulation of nuclear functions, ensuring that intricate molecular processes occur with precision and efficiency. Key to this organization are nuclear bodies and, more broadly, biomolecular condensates.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Nuclear Bodies: Classical Sub-Nuclear Structures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discovery of distinct sub-nuclear structures, now collectively termed nuclear bodies, dates back to the early days of microscopy. Structures like the nucleolus, Cajal bodies, and PML nuclear bodies were first identified as morphologically discrete entities within the nucleoplasm, often characterized by their distinct staining properties or electron density in electron micrographs. These nuclear bodies are defined as non-membrane-bound compartments that concentrate specific proteins and nucleic acids, thereby creating localized environments optimized for particular nuclear functions. For decades, their study provided glimpses into the sophisticated functional organization of the nucleus, hinting at a level of order beyond simple diffusion of components.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Biomolecular Condensates: A Paradigm Shift in Understanding Nuclear Organization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significant conceptual advance in understanding intracellular organization, including that of the nucleus, has been the emergence of the biomolecular condensate paradigm. Many cellular compartments, including a large number of nuclear bodies, are now understood to form via liquid-liquid phase separation (LLPS). This process allows specific proteins and RNA molecules, often containing intrinsically disordered regions (IDRs) and multivalent interaction motifs, to demix from the surrounding nucleoplasm, forming concentrated, dynamic, and often liquid-like assemblies. The recognition that LLPS is a fundamental principle driving the formation of these structures has revolutionized our interpretation of their biogenesis, material properties, and regulation. This framework helps explain how cells can rapidly and reversibly form and dissolve functional compartments without the need for lipid membranes.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historical identification of nuclear bodies through microscopy, particularly electron microscopy, provided the initial morphological evidence for these structures. The subsequent development of the LLPS concept offered a compelling biophysical mechanism for their membrane-less formation and dynamic behavior. Current ultrastructural investigations aim to reconcile these perspectives, seeking features consistent with LLPS—such as spherical shapes or fusion events—while also meticulously detailing the specific internal architectures and molecular arrangements that LLPS alone does not fully predict. This represents an evolution in understanding, propelled by both conceptual breakthroughs and advancements in high-resolution imaging technologies. It is also important to recognize that the term "condensate" often encompasses a wider array of structures than "classical nuclear bodies." This suggests a spectrum of organization, ranging from highly stable bodies with well-defined ultrastructures to more transient and dynamic assemblies. Ultrastructural analysis plays a critical role in characterizing specific entities along this continuum, revealing variations in their physical state (e.g., liquid-like, gel-like, or more solid) and degree of internal order.</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 The Indispensable Role of Ultrastructural Analysis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biochemical and light microscopy techniques provide invaluable information about the molecular composition and dynamics of nuclear bodies and condensates, understanding their true three-dimensional architecture, internal organization, and interactions with the surrounding nuclear landscape necessitates high-resolution ultrastructural analysis. Techniques capable of resolving features at the nanometer scale are essential for dissecting how these compartments are constructed and how their structure underpins their function. This review aims to synthesize the current knowledge gained from ultrastructural analysis regarding a variety of nuclear bodies and the broader class of nuclear condensates, with a particular focus on how these sub-microscopic details inform our understanding of their composition, organization, formation, dynamics, and functional roles within the cell nucleus.</w:t>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Methodological Cornerstones: Visualizing the Nanoscale Nuclear Landscape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exploration of nuclear ultrastructure has been driven by continuous advancements in microscopy. Each technique offers unique advantages and faces specific limitations, but together they provide a powerful toolkit for dissecting the nanoscale organization of nuclear bodies and condensates.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Transmission Electron Microscopy (TEM): The Foundation of Ultrastructural Studies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Conventional transmission electron microscopy (TEM) has been the cornerstone of ultrastructural research for decades. By employing thin sectioning of chemically fixed and resin-embedded biological samples, followed by staining with heavy metals to enhance contrast, TEM can reveal the general morphology, electron density, and spatial relationships of nuclear bodies with other nuclear components, such as chromatin and the nuclear envelope. This classical approach provided the first glimpses into the internal complexity of structures like the nucleolus and the distinct appearance of PML bodies.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crucial refinement of TEM is immunoelectron microscopy, particularly immunogold labeling. This technique involves the use of antibodies conjugated to electron-dense gold particles to localize specific proteins and nucleic acids within ultrastructurally preserved samples. Immunogold EM has been instrumental in bridging molecular identity with structural features, allowing researchers to pinpoint the precise location of key components within the sub-compartments of nuclear bodies, thereby providing direct evidence for functional specialization at the nanoscale.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Cryo-Electron Tomography (Cryo-ET): Towards Native-State Architecture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major limitation of conventional TEM is the potential for artifacts introduced by chemical fixation, dehydration, and staining. Cryo-electron tomography (cryo-ET) circumvents many of these issues by preserving samples in a near-native, hydrated state. This is typically achieved through rapid cryo-fixation methods like high-pressure freezing or plunge freezing, which vitrify cellular water, preventing the formation of damaging ice crystals. Once frozen, thin cellular sections (lamellae), often prepared using a focused ion beam (cryo-FIB), can be tilted and imaged in a cryo-TEM. The resulting series of 2D images are then computationally reconstructed into a 3D tomogram, revealing intricate molecular networks and interactions within nuclear bodies and condensates at resolutions approaching a few nanometers. Cryo-ET has been particularly powerful in revealing the native organization of biomolecular condensates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showing them not as amorphous blobs but often as complex, porous meshworks.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evolution from chemically fixed TEM to cryo-ET reflects a continuous pursuit of increasingly native-state preservation and higher resolution. This progression is vital for accurately interpreting the structure of delicate and often dynamic nuclear condensates, as conventional methods might alter their fine architecture or intermolecular arrangements. Consequently, some historical interpretations of ultrastructure derived solely from conventional TEM may require re-evaluation in light of the more faithful representations provided by cryo-EM techniques.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Correlative Light and Electron Microscopy (CLEM): Bridging Scales and Modalities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Identifying rare or transient nuclear events, or specific nuclear bodies within a complex cellular environment, can be challenging for EM alone. Correlative Light and Electron Microscopy (CLEM) addresses this by combining the strengths of fluorescence light microscopy (LM) with the high resolution of EM. In a typical CLEM workflow, cells expressing fluorescently tagged proteins of interest are first imaged by LM (often live-cell imaging to capture dynamic events) to identify the structure or event of interest. The same sample is then processed for EM, and the previously imaged region is relocated and analyzed at high resolution. This approach is invaluable for studying dynamic condensates or for confirming the identity of a structure before detailed ultrastructural characterization.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integration of LM and EM through CLEM represents a synergistic leap in capability. It allows researchers to directly link dynamic behavior, molecular identity (e.g., from a GFP-tagged protein), and functional state observed by LM with the intricate structural details revealed by EM. This is particularly crucial for understanding nuclear condensates, whose formation, disassembly, or composition might be transient or dependent on specific cellular states, making them difficult to capture and identify reliably by EM alone.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 Super-Resolution Microscopy (SRM): Nanoscale Insights with Light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EM provides unparalleled spatial resolution, it typically offers static snapshots of fixed samples. Super-resolution microscopy (SRM) techniques, such as Stimulated Emission Depletion (STED) microscopy, Photoactivated Localization Microscopy (PALM), and Stochastic Optical Reconstruction Microscopy (STORM), have emerged as powerful tools that bypass the diffraction limit of light, achieving resolutions in the tens of nanometers. SRM allows for the nanoscale mapping of molecular distributions within nuclear bodies and condensates, often in living cells. This provides crucial insights into the dynamics of component recruitment, exchange rates, and the relative spatial organization of different molecules within these structures. While not matching the absolute resolution of EM, SRM offers a vital bridge by enabling nanoscale imaging of dynamic processes, complementing the high-resolution static views obtained from EM and providing clues about assembly and disassembly mechanisms that can inform the interpretation of EM images.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Comparison of Key Ultrastructural and Advanced Light Microscopy Techniques for Nuclear Body/Condensate Analysis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Sample Preparation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Advantages for Nuclear Structure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Limitations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TEM (Conventional)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Electron beam transmission through thin, stained sections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 nm (XY), ~50 nm (Z)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Chemical fixation, dehydration, resin embedding, sectioning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Foundational for general morphology, electron density, context with other nuclear structures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Potential artifacts from fixation/staining, dehydration, limited 3D information from single sections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Immunogold 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TEM with gold-labeled antibodies for protein/NA localization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 TEM + gold particle size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Similar to conventional TEM, plus immunolabeling steps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Precise localization of specific molecules within ultrastructurally defined compartments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Antibody accessibility issues, potential for epitope masking, quantification can be challenging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Cryo-ET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Electron tomography of vitrified, unstained samples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2-5 nm (isotropic)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Cryo-fixation (e.g., HPF, plunge freezing), cryo-sectioning (e.g., cryo-FIB)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Near-native state preservation, 3D reconstruction at molecular resolution, reveals fine networks and interactions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Technically demanding, low contrast, limited field of view, sample thickness constraints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CLEM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Combination of LM (for targeting) and EM (for high-resolution)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LM + EM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Compatible with both LM and EM protocols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Links dynamic/functional information from LM to ultrastructure from EM, aids in finding rare events/structures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Complex workflows, potential for damage during correlation, compromises between optimal LM and EM conditions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SRM (e.g., STED, PALM, STORM)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Overcoming diffraction limit of light using specialized optics/fluorophores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20-100 nm (XY), variable (Z)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Fixation or live-cell imaging with specific labeling strategies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Nanoscale imaging in live or fixed cells, molecular specificity, dynamics, multicolor capabilities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Lower resolution than EM, photobleaching/phototoxicity in live cells, specific probe requirements, potential artifacts</w:t>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table provides a comparative overview, assisting researchers in understanding the capabilities and constraints of each technique when investigating nuclear ultrastructure. It underscores that a multi-modal approach, leveraging the complementary strengths of different methods, is often the most powerful strategy for a comprehensive understanding.</w:t>
      </w:r>
    </w:p>
    <w:p w:rsidR="00000000" w:rsidDel="00000000" w:rsidP="00000000" w:rsidRDefault="00000000" w:rsidRPr="00000000" w14:paraId="0000003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Ultrastructural Profiles of Prominent Nuclear Bodies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Ultrastructural analysis has been pivotal in defining the architecture of various nuclear bodies, linking their distinct morphologies to their specialized functions.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The Nucleolus: Ribosome Factory in High Resolution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nucleolus is the most prominent nuclear body, primarily responsible for ribosome biogenesis.</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Morphology and Internal Organization: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Classical TEM studies revealed a characteristic tripartite organization of the nucleolus, consisting of Fibrillar Centers (FCs), the Dense Fibrillar Component (DFC) surrounding the FCs, and the Granular Component (GC) forming the outermost region. These sub-compartments were functionally assigned as sites of ribosomal RNA (rRNA) gene transcription (believed to occur at the FC/DFC interface), rRNA processing (DFC), and ribosome subunit assembly and maturation (GC). Nucleoli are intimately associated with Nucleolar Organizing Regions (NORs), which are chromosomal loci containing the genes for rRNA.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However, more recent investigations using cryo-electron tomography (cryo-ET) are refining this classical model. Cryo-ET studies of nucleoli in situ suggest a more continuous and interconnected network of ribonucleoprotein (RNP) fibrils and particles, rather than strictly demarcated, separate compartments. These studies depict the nucleolus as a "complex three-dimensional RNP matrix" or a "fibrillar meshwork," implying a highly dynamic internal environment where components and intermediates can move through a structured yet permeable scaffold. This evolving view suggests that while functional specialization clearly exists within the nucleolus, the physical boundaries between the FC, DFC, and GC may be more fluid and interconnected than previously depicted by conventional TEM, whose preparation methods might emphasize these distinctions. The earlier model might represent a simplification influenced by the limitations of sample preparation and 2D imaging, whereas the reality is likely a more integrated and dynamic assembly line.</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Molecular Correlates from Ultrastructure: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Immunogold EM has been crucial in validating the functional specialization of nucleolar sub-compartments. These studies have precisely localized key proteins and RNA involved in ribosome biogenesis: RNA Polymerase I and the transcription factor UBF are found predominantly in FCs and at the FC/DFC interface; fibrillarin, a methyltransferase involved in pre-rRNA processing, is concentrated in the DFC; and ribosomal proteins and maturing ribosomal subunits are abundant in the GC. These molecular mappings strongly support the model of a vectorial process of ribosome synthesis occurring across these ultrastructurally defined domains.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Dynamic Features: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nucleolus is not a static structure; its size, number, and internal organization can change significantly depending on the cell cycle phase and the overall transcriptional activity of the cell. For instance, nucleoli typically disassemble during mitosis and reassemble in early G1. High metabolic activity and rapid cell growth are associated with large, prominent nucleoli. Ultrastructural studies have also provided evidence consistent with the export of assembled ribosomal subunits from the GC towards the nuclear pores for transit to the cytoplasm. The spatial arrangement of FCs, DFC, and GC, even within a more interconnected network model, creates an efficient pathway for rRNA transcription, processing, and ribosome assembly. This organization, whether viewed as strictly tripartite or as a continuous RNP matrix, directly reflects its function as a highly efficient "ribosome factory," where the co-localization of enzymatic machinery and their substrates within distinct yet connected ultrastructural zones is optimized for a sequential biochemical pathway. The fibrillar meshwork observed by cryo-ET could provide the necessary scaffold and extensive surface area for these complex processes.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PML Nuclear Bodies (NBs): Multifaceted Hubs of Nuclear Activity</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Promyelocytic Leukemia (PML) nuclear bodies (NBs), also known as PML oncogenic domains (PODs) or ND10, are implicated in a wide range of cellular processes, including transcriptional regulation, DNA damage response, apoptosis, and antiviral defense.</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Morphology and Internal Organization: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PML NBs typically appear as spherical structures, ranging from 0.2 to 1.0 µm in diameter. In conventional TEM, they are often observed as dense, sometimes ring-like structures within the nucleoplasm. A characteristic feature revealed by detailed ultrastructural and molecular studies is a bipartite organization: an outer shell primarily composed of the PML protein itself, and an inner core that harbors a diverse array of "client" proteins, such as Sp100, Daxx, and p53. The PML protein, particularly its ability to form oligomers and interact with other proteins, is essential for the structural integrity and assembly of the PML NB shell. Post-translational modification by SUMO (Small Ubiquitin-like Modifier) is critical for both PML protein function and the recruitment and retention of many client proteins within the NB.</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Molecular Correlates from Ultrastructure: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Immunogold EM has confirmed this shell-core architecture by demonstrating the localization of PML protein predominantly to the periphery of the body, forming the shell, while various interacting proteins are found within the core or associated with the shell. This spatial segregation strongly suggests a functional organization where the shell might regulate access to the core.</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Biogenesis and Dynamics: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formation and maintenance of PML NBs are dynamic processes. Evidence suggests that LLPS may contribute to the initial de novo formation or growth of PML NBs, particularly involving interactions between PML protein molecules. However, PML NBs are not simple liquid droplets. Their maturation into stable, characteristic structures requires specific protein-protein interactions, notably PML-PML oligomerization and interactions mediated by SUMOylation, which stabilize the shell and recruit core components. This implies a hybrid model of formation, where LLPS might initiate concentration, but specific, multivalent interactions involving the PML protein and SUMOylation are essential for their unique, stable ultrastructure and functional identity, distinguishing them from more generic LLPS-driven condensates. The shell-core ultrastructure is not merely a passive container but likely represents a functional architecture that regulates the accessibility, concentration, and interaction of client proteins within the core, with the PML shell acting as both a scaffold and a gatekeeper.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PML NBs are highly dynamic in their composition and number. They can recruit and release client proteins in response to various stimuli, often modulated by changes in SUMOylation status. Their numbers and sizes are also known to fluctuate in response to cellular stress (e.g., oxidative stress, heat shock), viral infection, and progression through the cell cycle.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Cajal Bodies (CBs) and Histone Locus Bodies (HLBs): Centers for RNP Maturation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Cajal bodies (CBs) and Histone Locus Bodies (HLBs) are distinct but often spatially and functionally linked nuclear bodies involved in the biogenesis and maturation of various ribonucleoproteins (RNPs) and the expression of histone genes, respectively.</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Morphology and Internal Organization (CBs):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CBs are typically spherical structures, 0.1-1.0 µm in diameter, found within the nucleoplasm of actively transcribing cells, and are sometimes observed in close association with the nucleolus. In TEM, they appear as electron-dense structures and were historically named "coiled bodies" due to their characteristic appearance as intermingled threads or coils of RNP material. The protein coilin is the defining marker protein of CBs and is thought to form a structural scaffold essential for their integrity and function. Cryo-ET studies may further elucidate the precise organization of this coilin-based scaffold, potentially revealing a complex network-like internal architecture. CBs are enriched in small nuclear RNPs (snRNPs) and small nucleolar RNPs (snoRNPs), as well as factors involved in their biogenesis, modification, and assembly, such as the Survival of Motor Neuron (SMN) complex and telomerase RNA and protein components. The "coiled" ultrastructure, underpinned by this coilin scaffold, likely creates a specialized microenvironment that facilitates the complex enzymatic reactions and assembly processes involved in snRNP and snoRNP maturation.</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Histone Locus Bodies (HLBs):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HLBs are specifically associated with the histone gene clusters, which encode the replication-dependent histone proteins required during S-phase of the cell cycle. They are key sites for the transcription and processing of histone mRNAs. NPAT (Nuclear Protein, Ataxia-Telangiectasia Locus) is a characteristic protein component of HLBs. Ultrastructurally, HLBs appear as discrete foci often found in close proximity to, or even physically interacting with, CBs, particularly during S-phase when histone gene expression is maximal.</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Molecular Correlates from Ultrastructure: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Immunogold EM has been instrumental in confirming the molecular composition of CBs and HLBs. Coilin, SMN protein, various snRNP proteins (e.g., Sm proteins), and snoRNP components have been localized to CBs. Similarly, NPAT and factors involved in histone mRNA processing, such as U7 snRNP (which is uniquely involved in 3'-end processing of histone pre-mRNAs), are found in HLBs. This molecular mapping supports their roles in RNP metabolism and histone mRNA production.</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Dynamic Features: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CBs are highly dynamic structures. They can fuse with each other, fragment, and constantly exchange components with the nucleoplasm. Their association with HLBs is notably cell cycle-dependent, peaking during S-phase. This frequent ultrastructural juxtaposition and functional linkage between CBs and HLBs, especially during S-phase, suggests a coordinated functional neighborhood or even an "assembly line." In this model, HLBs would be responsible for the production of histone mRNAs, while CBs could contribute to the maturation or recycling of snRNPs (like U7 snRNP) required for histone pre-mRNA processing, thereby ensuring the efficient and timely supply of histones for newly replicated DNA.</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 Nuclear Speckles (Interchromatin Granule Clusters - IGCs): Splicing Factor Compartments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speckles, also known as interchromatin granule clusters (IGCs) from their EM appearance, are major storage and assembly sites for pre-mRNA splicing factors.</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Morphology and Internal Organization: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Speckles appear in EM as irregularly shaped domains located in the interchromatin regions of the nucleus. They are characterized by clusters of electron-dense granules, 20-25 nm in diameter (the IGCs), which are often interconnected by thinner fibrillar structures, identified as perichromatin fibrils (PFs). PFs are also observed extending from the periphery of IGCs into the surrounding nucleoplasm. Nuclear speckles lack a limiting membrane and exhibit a reticular or sponge-like ultrastructure. They are enriched in splicing snRNPs, SR (serine/arginine-rich) proteins, and numerous other factors involved in pre-mRNA processing. The characteristic reticular ultrastructure of nuclear speckles, with IGCs serving as hubs interconnected by PFs, is thought to reflect their dual role: IGCs act as sites for the storage, assembly, and modification of splicing factors, while PFs represent pathways for the delivery of these factors to, or interaction with, sites of active transcription and pre-mRNA processing throughout the nucleus.</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Molecular Correlates from Ultrastructure: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Immunogold EM studies have confirmed the high concentration of splicing factors, such as the SR protein SC35 (SRSF2), within both the granular clusters (IGCs) and the interconnecting/peripheral PFs. PFs are often found in close proximity to regions of decondensed chromatin where transcription is occurring, suggesting they represent nascent transcripts complexed with splicing and processing machinery.</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Biogenesis and Dynamics: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Nuclear speckles are highly dynamic structures, with their protein and RNA components continuously exchanging with the nucleoplasm and other nuclear sites. Their overall morphology and distribution can change in response to the transcriptional state of the cell; for instance, inhibition of transcription often leads to the rounding up and consolidation of speckles. PFs are thought to be particularly dynamic, reflecting ongoing transcription and co-transcriptional processing.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Recent evidence strongly suggests that LLPS contributes significantly to the formation and dynamic nature of nuclear speckles. Intrinsically disordered regions (IDRs) present in many SR proteins, along with multivalent interactions involving RNA molecules (both nascent pre-mRNAs and potentially structural RNAs), are believed to drive the phase separation process. This LLPS-based formation helps explain their irregular morphology, lack of a membrane, and the rapid exchange of components observed in live-cell studies. The fluid-like nature imparted by LLPS allows for morphological adaptability and efficient recruitment/release of factors, which would be more challenging for a rigidly defined, static structure. The EM appearance of interconnected granules and a less defined boundary is consistent with a phase-separated state that is further organized by specific RNA-protein and protein-protein interactions.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 Other Notable Nuclear Bodies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major bodies discussed above, the nucleus contains other specialized compartments, each with unique ultrastructural features and functions.</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Paraspeckles:</w:t>
      </w:r>
    </w:p>
    <w:p w:rsidR="00000000" w:rsidDel="00000000" w:rsidP="00000000" w:rsidRDefault="00000000" w:rsidRPr="00000000" w14:paraId="00000059">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Morphology:</w:t>
      </w:r>
      <w:r w:rsidDel="00000000" w:rsidR="00000000" w:rsidRPr="00000000">
        <w:rPr>
          <w:rFonts w:ascii="Google Sans Text" w:cs="Google Sans Text" w:eastAsia="Google Sans Text" w:hAnsi="Google Sans Text"/>
          <w:i w:val="0"/>
          <w:color w:val="1b1c1d"/>
          <w:sz w:val="24"/>
          <w:szCs w:val="24"/>
          <w:rtl w:val="0"/>
        </w:rPr>
        <w:t xml:space="preserve"> Paraspeckles are discrete nuclear foci typically found in the interchromatin space, often located adjacent to nuclear speckles. Ultrastructurally, they can appear as elongated or ovoid structures, and some studies suggest a core-shell organization, though their morphology can be variable.</w:t>
      </w:r>
    </w:p>
    <w:p w:rsidR="00000000" w:rsidDel="00000000" w:rsidP="00000000" w:rsidRDefault="00000000" w:rsidRPr="00000000" w14:paraId="0000005A">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Correlates:</w:t>
      </w:r>
      <w:r w:rsidDel="00000000" w:rsidR="00000000" w:rsidRPr="00000000">
        <w:rPr>
          <w:rFonts w:ascii="Google Sans Text" w:cs="Google Sans Text" w:eastAsia="Google Sans Text" w:hAnsi="Google Sans Text"/>
          <w:i w:val="0"/>
          <w:color w:val="1b1c1d"/>
          <w:sz w:val="24"/>
          <w:szCs w:val="24"/>
          <w:rtl w:val="0"/>
        </w:rPr>
        <w:t xml:space="preserve"> The architectural backbone of paraspeckles is the long non-coding RNA (lncRNA) NEAT1 (Nuclear Enriched Abundant Transcript 1). NEAT1 exists in two isoforms, NEAT1_1 (short) and NEAT1_2 (long), with NEAT1_2 being essential for paraspeckle integrity. Various RNA-binding proteins, including members of the DBHS (Drosophila behavior human splicing) family (PSPC1, NONO, SFPQ), are core components of paraspeckles, binding to NEAT1 RNA. Immunogold EM can be used to localize NEAT1 RNA (via in situ hybridization EM) and these associated proteins within the body. The observation of a core-shell organization in some paraspeckles, with NEAT1 RNA forming the structural scaffold, is a compelling example of how lncRNAs can act as potent architectural elements, creating complex, ordered morphologies within nuclear condensates that go beyond simple spherical droplets. This indicates that RNA is not merely a passive client but an active organizer dictating specific, non-trivial shapes and internal arrangements.</w:t>
      </w:r>
    </w:p>
    <w:p w:rsidR="00000000" w:rsidDel="00000000" w:rsidP="00000000" w:rsidRDefault="00000000" w:rsidRPr="00000000" w14:paraId="0000005B">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Function:</w:t>
      </w:r>
      <w:r w:rsidDel="00000000" w:rsidR="00000000" w:rsidRPr="00000000">
        <w:rPr>
          <w:rFonts w:ascii="Google Sans Text" w:cs="Google Sans Text" w:eastAsia="Google Sans Text" w:hAnsi="Google Sans Text"/>
          <w:i w:val="0"/>
          <w:color w:val="1b1c1d"/>
          <w:sz w:val="24"/>
          <w:szCs w:val="24"/>
          <w:rtl w:val="0"/>
        </w:rPr>
        <w:t xml:space="preserve"> Paraspeckles are involved in the nuclear retention of specific A-to-I hyperedited mRNAs and certain proteins, thereby regulating gene expression at the post-transcriptional level. They also play roles in cellular stress responses.</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Transcription Factories (or Transcription Clusters):</w:t>
      </w:r>
    </w:p>
    <w:p w:rsidR="00000000" w:rsidDel="00000000" w:rsidP="00000000" w:rsidRDefault="00000000" w:rsidRPr="00000000" w14:paraId="0000005D">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Morphology:</w:t>
      </w:r>
      <w:r w:rsidDel="00000000" w:rsidR="00000000" w:rsidRPr="00000000">
        <w:rPr>
          <w:rFonts w:ascii="Google Sans Text" w:cs="Google Sans Text" w:eastAsia="Google Sans Text" w:hAnsi="Google Sans Text"/>
          <w:i w:val="0"/>
          <w:color w:val="1b1c1d"/>
          <w:sz w:val="24"/>
          <w:szCs w:val="24"/>
          <w:rtl w:val="0"/>
        </w:rPr>
        <w:t xml:space="preserve"> The concept of "transcription factories" proposes that active RNA polymerases and associated transcription machinery are clustered together at discrete sites in the nucleus, rather than polymerases moving along stationary DNA templates. Ultrastructurally, defining these factories as stable, distinct bodies has been challenging and remains somewhat controversial. They are sometimes visualized by EM as transient clusters of electron-dense material or localized concentrations of RNA polymerase molecules. Their appearance can be subtle and difficult to distinguish from the general fibrillogranular texture of the nucleoplasm.</w:t>
      </w:r>
    </w:p>
    <w:p w:rsidR="00000000" w:rsidDel="00000000" w:rsidP="00000000" w:rsidRDefault="00000000" w:rsidRPr="00000000" w14:paraId="0000005E">
      <w:pPr>
        <w:numPr>
          <w:ilvl w:val="1"/>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Correlates:</w:t>
      </w:r>
      <w:r w:rsidDel="00000000" w:rsidR="00000000" w:rsidRPr="00000000">
        <w:rPr>
          <w:rFonts w:ascii="Google Sans Text" w:cs="Google Sans Text" w:eastAsia="Google Sans Text" w:hAnsi="Google Sans Text"/>
          <w:i w:val="0"/>
          <w:color w:val="1b1c1d"/>
          <w:sz w:val="24"/>
          <w:szCs w:val="24"/>
          <w:rtl w:val="0"/>
        </w:rPr>
        <w:t xml:space="preserve"> Immunogold EM labeling for active forms of RNA polymerases (Pol I, Pol II, or Pol III) and specific transcription factors is the primary method used to identify these putative sites. The ongoing debate and the difficulty in consistently visualizing "transcription factories" as discrete, well-defined ultrastructural entities may reflect their inherently dynamic and possibly transient nature. They might exist as fluctuating activity hubs or transient enrichments of transcriptional machinery rather than stable, long-lived bodies with a fixed architecture. This highlights a current limitation of ultrastructural techniques in capturing very transient assemblies or those that are not significantly condensed relative to their surroundings, pointing to a need for advanced, time-resolved, or highly sensitive correlative methodologies to better characterize these dynamic functional sites.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Summary of Ultrastructural Features and Key Molecular Components of Major Nuclear Bodies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Body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Characteristic Ultrastructure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Scaffold Molecule(s)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Associated Functions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Nucleolus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Tripartite (FC, DFC, GC) or interconnected RNP network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rRNA, ribosomal proteins, UBF, Fibrillarin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Ribosome biogenesis (rRNA transcription, processing, subunit assembly)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PML NB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Spherical, often shell-core (PML shell, client core)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protein, SUMO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Transcriptional regulation, DNA repair, apoptosis, antiviral response, protein SUMOylation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Cajal Body (CB)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Electron-dense, "coiled body" of RNP threads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snRNP/snoRNP biogenesis and modification, telomerase assembly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Speckle (IGC)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Clusters of granules (IGCs) with interconnecting PFs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SR proteins (e.g., SC35/SRSF2), RNA (e.g., pre-mRNA)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Storage, assembly, and deployment of pre-mRNA splicing factors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Paraspeckle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Ovoid/elongated, sometimes core-shell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lncRNA NEAT1, DBHS proteins (PSPC1, NONO, SFPQ)</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retention of A-to-I edited mRNAs and proteins, stress response</w:t>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table provides a concise comparison, reinforcing the distinct ultrastructural identities of these nuclear bodies and linking them to their primary molecular constituents and functions. It highlights how different molecular scaffolds (protein-based vs. RNA-based) can give rise to diverse ultrastructures, each tailored to specific nuclear processes.</w:t>
      </w:r>
    </w:p>
    <w:p w:rsidR="00000000" w:rsidDel="00000000" w:rsidP="00000000" w:rsidRDefault="00000000" w:rsidRPr="00000000" w14:paraId="0000007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Ultrastructure of Nuclear Condensates: Beyond Classical Bodies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concept of biomolecular condensates formed via LLPS has broadened our understanding of nuclear organization beyond the classically defined nuclear bodies. Many, if not all, nuclear bodies are now considered to be, or to possess properties of, such condensates. Ultrastructural analysis plays a key role in characterizing these dynamic structures.</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Defining Ultrastructural Signatures of Biomolecular Condensates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LLPS is a biophysical process, certain morphological features observable by EM can be consistent with, though not definitive proof of, an LLPS origin:</w:t>
      </w:r>
    </w:p>
    <w:p w:rsidR="00000000" w:rsidDel="00000000" w:rsidP="00000000" w:rsidRDefault="00000000" w:rsidRPr="00000000" w14:paraId="0000007D">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Morphology:</w:t>
      </w:r>
      <w:r w:rsidDel="00000000" w:rsidR="00000000" w:rsidRPr="00000000">
        <w:rPr>
          <w:rFonts w:ascii="Google Sans Text" w:cs="Google Sans Text" w:eastAsia="Google Sans Text" w:hAnsi="Google Sans Text"/>
          <w:i w:val="0"/>
          <w:color w:val="1b1c1d"/>
          <w:sz w:val="24"/>
          <w:szCs w:val="24"/>
          <w:rtl w:val="0"/>
        </w:rPr>
        <w:t xml:space="preserve"> Condensates formed by LLPS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or when components are overexpressed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often adopt a spherical or droplet-like morphology, driven by the minimization of surface tension. This is a hallmark of liquid phases.</w:t>
      </w:r>
    </w:p>
    <w:p w:rsidR="00000000" w:rsidDel="00000000" w:rsidP="00000000" w:rsidRDefault="00000000" w:rsidRPr="00000000" w14:paraId="0000007E">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Fusion:</w:t>
      </w:r>
      <w:r w:rsidDel="00000000" w:rsidR="00000000" w:rsidRPr="00000000">
        <w:rPr>
          <w:rFonts w:ascii="Google Sans Text" w:cs="Google Sans Text" w:eastAsia="Google Sans Text" w:hAnsi="Google Sans Text"/>
          <w:i w:val="0"/>
          <w:color w:val="1b1c1d"/>
          <w:sz w:val="24"/>
          <w:szCs w:val="24"/>
          <w:rtl w:val="0"/>
        </w:rPr>
        <w:t xml:space="preserve"> Liquid-like condensates can fuse and coalesce upon contact, a behavior that can be observed using live-cell imaging correlated with EM (CLEM).</w:t>
      </w:r>
    </w:p>
    <w:p w:rsidR="00000000" w:rsidDel="00000000" w:rsidP="00000000" w:rsidRDefault="00000000" w:rsidRPr="00000000" w14:paraId="0000007F">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Membrane-less:</w:t>
      </w:r>
      <w:r w:rsidDel="00000000" w:rsidR="00000000" w:rsidRPr="00000000">
        <w:rPr>
          <w:rFonts w:ascii="Google Sans Text" w:cs="Google Sans Text" w:eastAsia="Google Sans Text" w:hAnsi="Google Sans Text"/>
          <w:i w:val="0"/>
          <w:color w:val="1b1c1d"/>
          <w:sz w:val="24"/>
          <w:szCs w:val="24"/>
          <w:rtl w:val="0"/>
        </w:rPr>
        <w:t xml:space="preserve"> A defining characteristic is the absence of a surrounding lipid membrane, distinguishing them from organelles like mitochondria or the ER.</w:t>
      </w:r>
    </w:p>
    <w:p w:rsidR="00000000" w:rsidDel="00000000" w:rsidP="00000000" w:rsidRDefault="00000000" w:rsidRPr="00000000" w14:paraId="00000080">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Internal Organization:</w:t>
      </w:r>
      <w:r w:rsidDel="00000000" w:rsidR="00000000" w:rsidRPr="00000000">
        <w:rPr>
          <w:rFonts w:ascii="Google Sans Text" w:cs="Google Sans Text" w:eastAsia="Google Sans Text" w:hAnsi="Google Sans Text"/>
          <w:i w:val="0"/>
          <w:color w:val="1b1c1d"/>
          <w:sz w:val="24"/>
          <w:szCs w:val="24"/>
          <w:rtl w:val="0"/>
        </w:rPr>
        <w:t xml:space="preserve"> Internally, condensates can range from appearing relatively homogenous by conventional EM to exhibiting more complex internal structures or heterogeneities. Examples include multi-phase condensates with distinct, immiscible layers or core-shell architectures, which can arise from differing interaction strengths or specific binding events among components. Heterotypic interactions between multiple components are often crucial for generating such structured condensates.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it is important to note the challenges in definitively identifying a structure as an LLPS-driven condensate solely based on static EM images. Features like sphericity can also arise from other assembly mechanisms, and the dynamic properties central to the LLPS concept (e.g., rapid internal rearrangement, component exchange) are not directly visible in fixed samples. Therefore, ultrastructural observations are most powerful when combined with biophysical data, live-cell imaging, and biochemical perturbations.</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Cryo-ET Revelations of Condensate Mesoscale Organization</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Cryo-electron tomography (cryo-ET) has been particularly transformative in revealing the native, hydrated internal architecture of biomolecular condensates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Instead of appearing as amorphous, uniform droplets, many condensates visualized by cryo-ET exhibit a remarkable degree of internal organization at the mesoscale (tens to hundreds of nanometers). They often appear as porous networks of interconnected protein and/or RNP fibers, with varying densities and pore sizes. This "mesoscale organization" can vary significantly between different types of condensates, reflecting their specific compositions and functional requirements. For example, cryo-ET studies of stress granules (related cytoplasmic condensates) and some viral replication compartments have shown them to be such porous networks, allowing for the diffusion and interaction of components within a structured yet dynamic framework.</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ability of cryo-ET to capture the delicate, hydrated ultrastructure is crucial. While LLPS provides a general biophysical mechanism for the initial formation and coalescence of condensates, the actual ultrastructure observed, especially with cryo-ET, is frequently not a simple, homogenous fluid. Instead, it is often a complex, organized meshwork or a multi-phase architecture. This observed complexity arises from the specific molecular interactions of the constituent scaffold and client molecules, including their valency, affinity, and the geometry of their interactions, which impose a higher-order structure on top of the basic phase separation phenomenon.</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The Role of Scaffolds and Clients in Shaping Condensate Ultrastructure</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Biomolecular condensates are typically composed of "scaffold" molecules and "client" molecules. Scaffolds are the primary drivers of phase separation, usually possessing multivalent interaction domains (e.g., multiple RNA-binding domains, oligomerization domains, or stretches of IDRs with "sticky" motifs) that mediate the extensive, often transient, cross-linking interactions necessary for demixing. Clients are molecules that are recruited into the condensate through specific interactions with the scaffold or other clients, but do not typically drive phase separation on their own.</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scaffold-client framework has direct implications for condensate ultrastructure. The scaffold molecules are expected to form the primary structural matrix or meshwork of the condensate, which might appear as a denser network of fibers in cryo-ET images. Client molecules would then be distributed within this matrix, perhaps occupying the pores or binding to specific sites on the scaffold. The specific biophysical and biochemical properties of the scaffold molecules—such as the length and domain architecture of an RNA scaffold, or the number, type, and spacing of adhesive motifs in a protein scaffold—are likely to be key determinants of the resulting ultrastructure, influencing features like fiber thickness, pore size, and overall density of the condensate.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 RNA as a Key Architectural Element in Nuclear Condensates</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is a growing appreciation for the central role of RNA molecules in scaffolding nuclear condensates and shaping their ultrastructure and material properties. RNA offers several features that make it an ideal scaffolding molecule:</w:t>
      </w:r>
    </w:p>
    <w:p w:rsidR="00000000" w:rsidDel="00000000" w:rsidP="00000000" w:rsidRDefault="00000000" w:rsidRPr="00000000" w14:paraId="0000008A">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Multivalency:</w:t>
      </w:r>
      <w:r w:rsidDel="00000000" w:rsidR="00000000" w:rsidRPr="00000000">
        <w:rPr>
          <w:rFonts w:ascii="Google Sans Text" w:cs="Google Sans Text" w:eastAsia="Google Sans Text" w:hAnsi="Google Sans Text"/>
          <w:i w:val="0"/>
          <w:color w:val="1b1c1d"/>
          <w:sz w:val="24"/>
          <w:szCs w:val="24"/>
          <w:rtl w:val="0"/>
        </w:rPr>
        <w:t xml:space="preserve"> RNA molecules, particularly long non-coding RNAs (lncRNAs) or even mRNAs and rRNAs, can contain multiple binding sites for various RNA-binding proteins (RBPs), enabling extensive cross-linking.</w:t>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Specific Structures:</w:t>
      </w:r>
      <w:r w:rsidDel="00000000" w:rsidR="00000000" w:rsidRPr="00000000">
        <w:rPr>
          <w:rFonts w:ascii="Google Sans Text" w:cs="Google Sans Text" w:eastAsia="Google Sans Text" w:hAnsi="Google Sans Text"/>
          <w:i w:val="0"/>
          <w:color w:val="1b1c1d"/>
          <w:sz w:val="24"/>
          <w:szCs w:val="24"/>
          <w:rtl w:val="0"/>
        </w:rPr>
        <w:t xml:space="preserve"> RNA can fold into complex secondary and tertiary structures that can serve as specific recognition motifs for proteins or other RNAs.</w:t>
      </w:r>
    </w:p>
    <w:p w:rsidR="00000000" w:rsidDel="00000000" w:rsidP="00000000" w:rsidRDefault="00000000" w:rsidRPr="00000000" w14:paraId="0000008C">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Diverse Interactions:</w:t>
      </w:r>
      <w:r w:rsidDel="00000000" w:rsidR="00000000" w:rsidRPr="00000000">
        <w:rPr>
          <w:rFonts w:ascii="Google Sans Text" w:cs="Google Sans Text" w:eastAsia="Google Sans Text" w:hAnsi="Google Sans Text"/>
          <w:i w:val="0"/>
          <w:color w:val="1b1c1d"/>
          <w:sz w:val="24"/>
          <w:szCs w:val="24"/>
          <w:rtl w:val="0"/>
        </w:rPr>
        <w:t xml:space="preserve"> RNA can interact with proteins through specific sequence recognition or more general charge-based interactions, and can also engage in RNA-RNA interactions. These properties allow RNA to drive LLPS and act as a platform for the recruitment and organization of specific protein components.</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Ultrastructurally, the presence of RNA as a key architectural element can manifest in several ways. RNA-rich regions within condensates may appear more electron-dense in conventional EM or form distinct fibrillar or granular textures. For example, the lncRNA NEAT1 forms the structural backbone of paraspeckles, rRNA and associated proteins form the intricate RNP matrix of the nucleolus, and RNA contributes to the network-like structure of nuclear speckles. These examples underscore that RNA is emerging as a master architectural molecule for many nuclear condensates. It is capable of not only driving their formation but also dictating their internal organization (e.g., fibrillar networks, core-shell structures like those seen in some paraspeckles) and selectively recruiting protein clients, thereby significantly shaping their final ultrastructure. This suggests an extension of the "RNA world" concept, where RNA plays a fundamental role in the physical structuring of cellular compartments, in addition to its roles in information storage and catalysis.</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material properties of condensates, such as their viscosity, viscoelasticity, and permeability, are directly influenced by the density and connectivity of their internal ultrastructural network. These properties are, in turn, crucial for their diverse functions, whether it involves selectively filtering molecules, concentrating reactants to enhance biochemical reactions, sequestering components, or maintaining a dynamic state for rapid response to cellular signals. For instance, a porous network architecture, as revealed by cryo-ET for some condensates, would allow for the relatively free diffusion of smaller client molecules while potentially retarding the movement of larger complexes, thus contributing to the functional specificity of the compartment.</w:t>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Functional Correlates: Linking Ultrastructure to Nuclear Processes</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specific ultrastructural organization of each nuclear body and condensate is not arbitrary but is intrinsically linked to its designated functions. The architecture provides the physical framework for concentrating necessary components, facilitating specific molecular interactions, and regulating nuclear processes.</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Nucleolus: Optimized Architecture for Ribosome Production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nucleolus, with its classical tripartite organization (FC, DFC, GC) or its more recently appreciated continuous RNP meshwork, exemplifies a structure optimized for a complex biosynthetic pathway. This organization facilitates the sequential and highly efficient transcription of rRNA genes, processing of pre-rRNA, and assembly of these rRNAs with ribosomal proteins into mature ribosomal subunits. The dense fibrillar meshwork, as visualized by cryo-ET, provides an extensive surface area and a scaffold for these multi-step enzymatic reactions, effectively functioning as a highly organized molecular assembly line.</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 PML NBs: Regulated Sequestration and Modification Hubs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characteristic shell-core ultrastructure of PML NBs, with the PML protein forming the outer shell, is central to their function. This architecture allows PML NBs to sequester specific client proteins within their core, thereby controlling the availability and activity of these proteins in the nucleoplasm. The shell may act as a selective barrier, a recruitment platform, or an interaction hub that modulates the entry and exit of components. Furthermore, PML NBs are major sites of protein SUMOylation. The concentration of SUMO E1, E2, and sometimes E3 ligases within PML NBs, facilitated by their structure, promotes the efficient SUMOylation of PML itself and numerous target proteins recruited to the body.</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 Cajal Bodies: Efficient RNP Assembly and Maturation Platforms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coilin-based scaffold of Cajal bodies creates a unique microenvironment that concentrates components required for the biogenesis and maturation of snRNPs and snoRNPs. The "coiled" or thread-like ultrastructure observed in EM may provide specific binding surfaces, channels, or reaction chambers that enhance the efficiency of these complex, multi-step enzymatic and assembly pathways. By bringing together substrates (e.g., pre-snRNAs, snoRNAs) and processing machinery (e.g., SMN complex, modification enzymes), CBs act as catalytic hubs.</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 Nuclear Speckles: Dynamic Splicing Factor Reservoirs and Processing Sites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reticular ultrastructure of nuclear speckles, comprising interchromatin granule clusters (IGCs) interconnected by and giving rise to perichromatin fibrils (PFs), is well-suited for their dual role in splicing. IGCs serve as reservoirs for the storage, assembly, and modification of splicing factors. The PFs, which extend into the nucleoplasm and associate with sites of active transcription, are thought to represent splicing factors being delivered to, or interacting with, nascent pre-mRNAs. This network architecture allows for both the stable maintenance of a splicing factor pool and their rapid deployment to numerous transcription sites across the nucleus, facilitating efficient co-transcriptional splicing. The dynamic, porous nature of speckles, consistent with their LLPS-driven formation, enables the rapid exchange of components necessary for these functions.</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 Paraspeckles: lncRNA-Scaffolded Compartments for Nuclear Retention</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NEAT1 lncRNA acts as the structural scaffold of paraspeckles, creating a distinct compartment for the nuclear retention of A-to-I hyperedited mRNAs and certain regulatory proteins. The specific architecture dictated by NEAT1 RNA, potentially including core-shell arrangements, provides the binding sites and microenvironment necessary for sequestering these target molecules, thereby preventing their export or further processing and thus modulating gene expression post-transcriptionally.</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recurring principle evident across these examples is that the ultrastructure of nuclear bodies and condensates serves to concentrate specific macromolecules—enzymes, substrates, scaffolding elements—thereby increasing local concentrations, enhancing reaction rates, and improving the specificity of their designated nuclear processes. This is a fundamental mechanism by which cells create functional microenvironments without relying on lipid membranes, overcoming the inherent dilution of the bulk nucleoplasm.</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diverse morphologies observed—such as the shell-core of PML NBs, the networked organization of speckles, or the tripartite/meshwork structure of the nucleolus—are not accidental. They appear to be highly adapted to the particular functions of each body, suggesting an evolutionary optimization of structure to meet specific functional demands. For instance, a networked architecture like that of nuclear speckles is advantageous for widespread interaction with numerous transcription sites, whereas a shell-core structure, as seen in PML NBs, is well-suited for sequestration and regulated access to an internal compartment.</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the dynamic aspects of ultrastructure, including the exchange of components, fusion and fission events, and changes in size or number in response to cellular stimuli (as seen in PML NBs and speckles), are intrinsically linked to the regulatory roles of these bodies. This structural plasticity allows them to adapt their activity and composition to meet changing cellular needs, functioning as responsive hubs in nuclear signaling and regulation.</w:t>
      </w:r>
    </w:p>
    <w:p w:rsidR="00000000" w:rsidDel="00000000" w:rsidP="00000000" w:rsidRDefault="00000000" w:rsidRPr="00000000" w14:paraId="0000009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Ultrastructural Perturbations: Nuclear Bodies and Condensates in Stress and Disease</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ultrastructure of nuclear bodies and condensates is essential for their proper function, and consequently, alterations to this architecture are frequently observed during cellular stress and in various pathological states. These perturbations can provide insights into disease mechanisms and the normal roles of these compartments.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General Principles of Ultrastructural Alterations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Cells respond to a wide array of stresses—such as oxidative stress, heat shock, DNA damage, nutrient deprivation, or viral infection—by remodeling their nuclear architecture. Common ultrastructural changes observed in nuclear bodies and condensates include alterations in their number (e.g., increase or decrease), size (e.g., hypertrophy or fragmentation), shape (e.g., rounding up or irregularization), electron density, or internal organization. These changes often reflect an adaptive response aimed at mitigating stress or, in pathological conditions, a dysregulation of normal assembly and maintenance processes.</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 Viral Infections and Nuclear Body Hijacking</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Many viruses, upon infecting a cell, specifically target and remodel host nuclear bodies to create an environment conducive to their own replication and to counteract antiviral defenses. For instance, PML NBs are well-known targets for numerous DNA and RNA viruses. Viruses may induce the dispersal of PML NBs, sequester viral proteins within them, or reorganize them into new structures that serve as sites for viral genome replication or transcription. Similarly, the nucleolus and nuclear speckles can be co-opted or disrupted by viral infection. Ultrastructural techniques, particularly TEM and CLEM, are invaluable for visualizing viral components within or associated with these nuclear bodies and for documenting the precise nature of virus-induced reorganization. These viral strategies underscore the critical roles these bodies play in cellular homeostasis and defense, as viruses would not have evolved mechanisms to specifically target them unless they posed a barrier or offered a resource. The specific ways viruses alter their ultrastructure provide clues about both viral pathogenic mechanisms and the normal functions of the targeted body.</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 Neurodegenerative Diseases and Aberrant Condensates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growing body of evidence links aberrant phase transitions and the formation of pathological protein aggregates to the pathogenesis of several neurodegenerative diseases, such as amyotrophic lateral sclerosis (ALS), frontotemporal dementia (FTD), and Alzheimer's disease. Many proteins implicated in these diseases (e.g., FUS, TDP-43, tau) are RNA-binding proteins that normally reside, at least transiently, in nuclear or cytoplasmic condensates and possess prion-like domains or IDRs that mediate LLPS. In disease states, these proteins can undergo aberrant liquid-to-solid phase transitions, leading to the formation of stable, often fibrillar, insoluble aggregates that are hallmarks of these conditions. While many of these prominent aggregates are cytoplasmic, the underlying principles of dysregulated condensate formation and maturation are highly relevant to nuclear processes as well. Nuclear inclusions are also characteristic of certain repeat expansion diseases, like Huntington's disease (polyglutamine inclusions) or some spinocerebellar ataxias. Ultrastructural analysis, including cryo-ET of patient-derived material or model systems, can reveal the detailed fibrillar or amyloid-like nature of these pathological inclusions and their relationship to other cellular structures. This suggests a pathological continuum where the same biophysical properties that drive the formation of functional, dynamic condensates can, when dysregulated by mutations, protein overexpression, persistent stress, or aging, lead to the formation of irreversible, toxic aggregates with distinct ultrastructures.</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 Cancer and Altered Nuclear Architecture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Alterations in nuclear architecture, particularly nucleolar morphology, are well-established cytological markers used in cancer diagnosis and prognosis. Cancer cells, with their high demand for protein synthesis to support rapid proliferation, often exhibit enlarged, irregularly shaped, or multiple nucleoli. These ultrastructural changes reflect increased ribosome biogenesis and overall metabolic activity. TEM can reveal detailed changes in the organization of FCs, DFC, and GC in cancerous nucleoli.</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Dysregulation of other nuclear bodies is also implicated in cancer. For example, the PML protein is a tumor suppressor, and its disruption, as seen in acute promyelocytic leukemia (APL) due to the PML-RARα fusion protein, leads to the disassembly of PML NBs and contributes to oncogenesis. Re-establishment of PML NB ultrastructure is a key therapeutic goal in APL. These examples demonstrate that ultrastructural alterations of nuclear bodies are not merely passive bystanders or symptoms of disease but can be active contributors to pathogenesis by disrupting critical nuclear functions, such as gene expression control, RNP biogenesis, genome stability, and stress response pathways. The structural change directly reflects and often drives a functional aberration.</w:t>
      </w:r>
    </w:p>
    <w:p w:rsidR="00000000" w:rsidDel="00000000" w:rsidP="00000000" w:rsidRDefault="00000000" w:rsidRPr="00000000" w14:paraId="000000A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Synthesis and Future Perspectives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Recapitulation of Major Ultrastructural Insights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Ultrastructural analysis, from conventional TEM to advanced cryo-ET and correlative methodologies, has been indispensable in dissecting the complex internal architectures of nuclear bodies and condensates. These studies have revealed a remarkable diversity of morphologies, ranging from the well-defined tripartite organization of the nucleolus and the shell-core structure of PML NBs to the more reticular networks of nuclear speckles and the dynamic, often RNA-scaffolded, nature of paraspeckles and other LLPS-driven condensates. Crucially, ultrastructural approaches, especially when combined with molecular identification techniques like immunogold labeling, have allowed researchers to identify the key scaffold molecules (both proteins and RNAs) and interacting components that underpin these structures. This has forged a strong link between the observed nanoscale architecture and the specific molecular functions carried out within these compartments, reinforcing the fundamental biological principle that structure dictates function.</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 Current Challenges and Unanswered Questions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Despite significant progress, several challenges and open questions remain in the field:</w:t>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Capturing Dynamics:</w:t>
      </w:r>
      <w:r w:rsidDel="00000000" w:rsidR="00000000" w:rsidRPr="00000000">
        <w:rPr>
          <w:rFonts w:ascii="Google Sans Text" w:cs="Google Sans Text" w:eastAsia="Google Sans Text" w:hAnsi="Google Sans Text"/>
          <w:i w:val="0"/>
          <w:color w:val="1b1c1d"/>
          <w:sz w:val="24"/>
          <w:szCs w:val="24"/>
          <w:rtl w:val="0"/>
        </w:rPr>
        <w:t xml:space="preserve"> Many nuclear condensates are highly dynamic, assembling, disassembling, and exchanging components on rapid timescales. Capturing these transient states or the earliest stages of formation with sufficient spatial and temporal resolution remains a major hurdle for most EM techniques, which typically provide static snapshots. Even live-cell SRM, while offering dynamic information, may not yet achieve the resolution needed to see the finest architectural details during these transitions.</w:t>
      </w:r>
    </w:p>
    <w:p w:rsidR="00000000" w:rsidDel="00000000" w:rsidP="00000000" w:rsidRDefault="00000000" w:rsidRPr="00000000" w14:paraId="000000A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 Situ Structure-Function Correlation:</w:t>
      </w:r>
      <w:r w:rsidDel="00000000" w:rsidR="00000000" w:rsidRPr="00000000">
        <w:rPr>
          <w:rFonts w:ascii="Google Sans Text" w:cs="Google Sans Text" w:eastAsia="Google Sans Text" w:hAnsi="Google Sans Text"/>
          <w:i w:val="0"/>
          <w:color w:val="1b1c1d"/>
          <w:sz w:val="24"/>
          <w:szCs w:val="24"/>
          <w:rtl w:val="0"/>
        </w:rPr>
        <w:t xml:space="preserve"> While CLEM allows for targeting functionally defined structures, directly observing intricate functional processes (e.g., enzymatic reactions, RNP assembly steps) occurring within an ultrastructurally defined condensate in a living cell at high resolution is still exceptionally difficult.</w:t>
      </w:r>
    </w:p>
    <w:p w:rsidR="00000000" w:rsidDel="00000000" w:rsidP="00000000" w:rsidRDefault="00000000" w:rsidRPr="00000000" w14:paraId="000000B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Artifact-Free Preservation:</w:t>
      </w:r>
      <w:r w:rsidDel="00000000" w:rsidR="00000000" w:rsidRPr="00000000">
        <w:rPr>
          <w:rFonts w:ascii="Google Sans Text" w:cs="Google Sans Text" w:eastAsia="Google Sans Text" w:hAnsi="Google Sans Text"/>
          <w:i w:val="0"/>
          <w:color w:val="1b1c1d"/>
          <w:sz w:val="24"/>
          <w:szCs w:val="24"/>
          <w:rtl w:val="0"/>
        </w:rPr>
        <w:t xml:space="preserve"> Ensuring that the observed ultrastructures faithfully represent the native state, particularly for delicate, loosely organized, or highly hydrated condensates, remains an ongoing concern. Cryo-fixation methods have greatly improved preservation, but challenges related to sample preparation (e.g., creating sufficiently thin lamellae from specific cellular locations without damage) persist.</w:t>
      </w:r>
    </w:p>
    <w:p w:rsidR="00000000" w:rsidDel="00000000" w:rsidP="00000000" w:rsidRDefault="00000000" w:rsidRPr="00000000" w14:paraId="000000B1">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Determinants of Higher-Order Structure:</w:t>
      </w:r>
      <w:r w:rsidDel="00000000" w:rsidR="00000000" w:rsidRPr="00000000">
        <w:rPr>
          <w:rFonts w:ascii="Google Sans Text" w:cs="Google Sans Text" w:eastAsia="Google Sans Text" w:hAnsi="Google Sans Text"/>
          <w:i w:val="0"/>
          <w:color w:val="1b1c1d"/>
          <w:sz w:val="24"/>
          <w:szCs w:val="24"/>
          <w:rtl w:val="0"/>
        </w:rPr>
        <w:t xml:space="preserve"> While LLPS provides a general framework for condensate formation, the precise molecular interactions and stoichiometries that dictate the specific higher-order ultrastructure (e.g., meshwork porosity, multi-phase organization, material properties) within different condensates are often not fully understood. Moving beyond a general understanding of "multivalency" to a detailed map of the interaction networks is crucial.</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 Emerging Technologies and Future Directions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field is poised for further breakthroughs, driven by technological advancements and innovative experimental strategies:</w:t>
      </w:r>
    </w:p>
    <w:p w:rsidR="00000000" w:rsidDel="00000000" w:rsidP="00000000" w:rsidRDefault="00000000" w:rsidRPr="00000000" w14:paraId="000000B4">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Advanced Cryo-ET and In Situ Structural Biology:</w:t>
      </w:r>
      <w:r w:rsidDel="00000000" w:rsidR="00000000" w:rsidRPr="00000000">
        <w:rPr>
          <w:rFonts w:ascii="Google Sans Text" w:cs="Google Sans Text" w:eastAsia="Google Sans Text" w:hAnsi="Google Sans Text"/>
          <w:i w:val="0"/>
          <w:color w:val="1b1c1d"/>
          <w:sz w:val="24"/>
          <w:szCs w:val="24"/>
          <w:rtl w:val="0"/>
        </w:rPr>
        <w:t xml:space="preserve"> Continued improvements in cryo-FIB milling for precise site-specific lamella preparation from cells, coupled with higher throughput cryo-ET and sophisticated image processing (including AI-driven segmentation), will enable more routine visualization of diverse nuclear condensates in their native cellular context at near-molecular detail. This will allow for the systematic structural characterization of a wider range of nuclear bodies.</w:t>
      </w:r>
    </w:p>
    <w:p w:rsidR="00000000" w:rsidDel="00000000" w:rsidP="00000000" w:rsidRDefault="00000000" w:rsidRPr="00000000" w14:paraId="000000B5">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Integrative and Multi-Modal Approaches:</w:t>
      </w:r>
      <w:r w:rsidDel="00000000" w:rsidR="00000000" w:rsidRPr="00000000">
        <w:rPr>
          <w:rFonts w:ascii="Google Sans Text" w:cs="Google Sans Text" w:eastAsia="Google Sans Text" w:hAnsi="Google Sans Text"/>
          <w:i w:val="0"/>
          <w:color w:val="1b1c1d"/>
          <w:sz w:val="24"/>
          <w:szCs w:val="24"/>
          <w:rtl w:val="0"/>
        </w:rPr>
        <w:t xml:space="preserve"> The future lies in combining high-resolution ultrastructural data (especially from cryo-ET) with complementary information from proteomics (to identify all components), transcriptomics (to identify constituent RNAs), genomics (to understand chromatin interactions), advanced light microscopy (for dynamics and specific labeling), and biophysical modeling. Such integrative approaches will be essential for building comprehensive, multi-scale models of nuclear condensate organization and function.</w:t>
      </w:r>
    </w:p>
    <w:p w:rsidR="00000000" w:rsidDel="00000000" w:rsidP="00000000" w:rsidRDefault="00000000" w:rsidRPr="00000000" w14:paraId="000000B6">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Time-Resolved Ultrastructural Studies:</w:t>
      </w:r>
      <w:r w:rsidDel="00000000" w:rsidR="00000000" w:rsidRPr="00000000">
        <w:rPr>
          <w:rFonts w:ascii="Google Sans Text" w:cs="Google Sans Text" w:eastAsia="Google Sans Text" w:hAnsi="Google Sans Text"/>
          <w:i w:val="0"/>
          <w:color w:val="1b1c1d"/>
          <w:sz w:val="24"/>
          <w:szCs w:val="24"/>
          <w:rtl w:val="0"/>
        </w:rPr>
        <w:t xml:space="preserve"> The development and application of techniques for time-resolved cryo-EM or very fast CLEM workflows could provide "snapshots" of condensate assembly, disassembly, or functional transitions in response to stimuli, bridging the gap between static high-resolution structures and dynamic cellular processes.</w:t>
      </w:r>
    </w:p>
    <w:p w:rsidR="00000000" w:rsidDel="00000000" w:rsidP="00000000" w:rsidRDefault="00000000" w:rsidRPr="00000000" w14:paraId="000000B7">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Novel Probes and Labeling Technologies:</w:t>
      </w:r>
      <w:r w:rsidDel="00000000" w:rsidR="00000000" w:rsidRPr="00000000">
        <w:rPr>
          <w:rFonts w:ascii="Google Sans Text" w:cs="Google Sans Text" w:eastAsia="Google Sans Text" w:hAnsi="Google Sans Text"/>
          <w:i w:val="0"/>
          <w:color w:val="1b1c1d"/>
          <w:sz w:val="24"/>
          <w:szCs w:val="24"/>
          <w:rtl w:val="0"/>
        </w:rPr>
        <w:t xml:space="preserve"> Advances in genetic code expansion, click chemistry, and the development of new classes of bright, stable fluorophores and EM-visible probes will enhance our ability to specifically label and track multiple molecular species within condensates using correlative and super-resolution techniques.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 forward in understanding nuclear ultrastructure will heavily rely on the integration of dynamic, multi-modal, and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approaches. No single technique can provide all the answers; instead, a convergence of high-resolution EM, advanced live-cell light microscopy, multi-omics data, and sophisticated computational modeling will be necessary to construct a holistic picture, from the fundamental molecular interactions that drive assembly to the emergent cellular functions of these complex compartments.</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 Recommendations for Future Research Priorities</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Based on the current state of knowledge and emerging capabilities, several research areas warrant particular focus:</w:t>
      </w:r>
    </w:p>
    <w:p w:rsidR="00000000" w:rsidDel="00000000" w:rsidP="00000000" w:rsidRDefault="00000000" w:rsidRPr="00000000" w14:paraId="000000B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Characterizing the Nuclear "Dark Matter":</w:t>
      </w:r>
      <w:r w:rsidDel="00000000" w:rsidR="00000000" w:rsidRPr="00000000">
        <w:rPr>
          <w:rFonts w:ascii="Google Sans Text" w:cs="Google Sans Text" w:eastAsia="Google Sans Text" w:hAnsi="Google Sans Text"/>
          <w:i w:val="0"/>
          <w:color w:val="1b1c1d"/>
          <w:sz w:val="24"/>
          <w:szCs w:val="24"/>
          <w:rtl w:val="0"/>
        </w:rPr>
        <w:t xml:space="preserve"> A significant portion of the nucleoplasm is occupied by less-understood or newly discovered condensates. Systematic efforts are needed to identify, characterize the ultrastructure of, and determine the function of these novel nuclear assemblies.</w:t>
      </w:r>
    </w:p>
    <w:p w:rsidR="00000000" w:rsidDel="00000000" w:rsidP="00000000" w:rsidRDefault="00000000" w:rsidRPr="00000000" w14:paraId="000000B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Mechanical Influences and Chromatin Environment:</w:t>
      </w:r>
      <w:r w:rsidDel="00000000" w:rsidR="00000000" w:rsidRPr="00000000">
        <w:rPr>
          <w:rFonts w:ascii="Google Sans Text" w:cs="Google Sans Text" w:eastAsia="Google Sans Text" w:hAnsi="Google Sans Text"/>
          <w:i w:val="0"/>
          <w:color w:val="1b1c1d"/>
          <w:sz w:val="24"/>
          <w:szCs w:val="24"/>
          <w:rtl w:val="0"/>
        </w:rPr>
        <w:t xml:space="preserve"> Investigating how mechanical forces within the nucleus (e.g., those generated by chromatin dynamics or cytoskeletal connections) and the physical properties of the surrounding chromatin environment influence the formation, shape, stability, and function of nuclear condensates is a critical area.</w:t>
      </w:r>
    </w:p>
    <w:p w:rsidR="00000000" w:rsidDel="00000000" w:rsidP="00000000" w:rsidRDefault="00000000" w:rsidRPr="00000000" w14:paraId="000000B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Quantitative Understanding of Condensate Composition and Assembly:</w:t>
      </w:r>
      <w:r w:rsidDel="00000000" w:rsidR="00000000" w:rsidRPr="00000000">
        <w:rPr>
          <w:rFonts w:ascii="Google Sans Text" w:cs="Google Sans Text" w:eastAsia="Google Sans Text" w:hAnsi="Google Sans Text"/>
          <w:i w:val="0"/>
          <w:color w:val="1b1c1d"/>
          <w:sz w:val="24"/>
          <w:szCs w:val="24"/>
          <w:rtl w:val="0"/>
        </w:rPr>
        <w:t xml:space="preserve"> Developing a more complete "parts list" for various nuclear condensates and understanding how the stoichiometry, concentration, and post-translational modifications of their components quantitatively influence their phase behavior, internal ultrastructure, material properties, and ultimately, their function. This involves moving beyond descriptive ultrastructure to a predictive understanding: how do the specific sequences of proteins and RNAs encode the assembly, architecture, and behavior of a given nuclear condensate?</w:t>
      </w:r>
    </w:p>
    <w:p w:rsidR="00000000" w:rsidDel="00000000" w:rsidP="00000000" w:rsidRDefault="00000000" w:rsidRPr="00000000" w14:paraId="000000BE">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Disease Mechanisms and Therapeutic Opportunities:</w:t>
      </w:r>
      <w:r w:rsidDel="00000000" w:rsidR="00000000" w:rsidRPr="00000000">
        <w:rPr>
          <w:rFonts w:ascii="Google Sans Text" w:cs="Google Sans Text" w:eastAsia="Google Sans Text" w:hAnsi="Google Sans Text"/>
          <w:i w:val="0"/>
          <w:color w:val="1b1c1d"/>
          <w:sz w:val="24"/>
          <w:szCs w:val="24"/>
          <w:rtl w:val="0"/>
        </w:rPr>
        <w:t xml:space="preserve"> Elucidating precisely how disease-associated mutations, environmental stressors, or pathological conditions specifically alter condensate ultrastructure and function. This knowledge is crucial for understanding pathogenic mechanisms and could reveal new diagnostic markers (e.g., subtle ultrastructural changes in pre-cancerous states) or therapeutic targets aimed at restoring normal condensate properties or disrupting pathogenic assemblies. The study of nuclear condensate ultrastructure, therefore, holds profound implications for advancing our understanding of human health and disease.</w:t>
      </w:r>
    </w:p>
    <w:p w:rsidR="00000000" w:rsidDel="00000000" w:rsidP="00000000" w:rsidRDefault="00000000" w:rsidRPr="00000000" w14:paraId="000000BF">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VIII. References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comprehensive list of cited literature would be included here in a full publication, referencing the sources for the statements made and key papers in the field of nuclear ultrastructure.)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