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 Critical Review of the Nanoscale Architecture and Live-Cell Dynamics of RNA Polymerase II Condensates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1: The Conceptual Framework of Transcriptional Condensates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regulation of gene expression in eukaryotes is a process of extraordinary complexity, requiring the precise coordination of thousands of protein and nucleic acid components in the crowded, three-dimensional space of the nucleus. For decades, research has sought to understand the organizational principles that govern this orchestration. A paradigm shift is currently underway, moving from classical models of stoichiometric, high-affinity molecular complexes to a framework centered on the formation of dynamic, non-stoichiometric, and often liquid-like assemblies known as biomolecular condensates. These structures, formed through liquid-liquid phase separation (LLPS), are proposed to act as hubs that concentrate the transcriptional machinery, thereby enhancing regulatory efficiency and specificity. This section establishes the conceptual foundations of this model, tracing its historical roots, defining its core biophysical principles, and identifying the key molecular players, with a particular focus on the central role of RNA Polymerase II (Pol II).</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From Transcription Factories to Phase-Separated Condensates</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idea that transcription is spatially organized within the nucleus is not new. Seminal studies using immunofluorescence and electron microscopy revealed that active Pol II is not diffusely distributed but is concentrated in discrete nuclear foci.</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observations gave rise to the "transcription factory" model, which posited that transcription occurs at a limited number of pre-assembled, relatively stable structures. In this model, genes were thought to be recruited to these factories to be transcribed, rather than the machinery assembling de novo on each 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These factories were estimated to contain multiple polymerase molecules and other essential factors, providing a potential mechanism for coordinating the expression of co-regulated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influential, the factory model faced challenges, particularly with the advent of live-cell imaging, which revealed a far more dynamic behavior of transcription factors and Pol II than a stable factory model would predict.</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A new paradigm emerged from the broader field of cell biology, which recognized that many membraneless organelles, such as the nucleolus and P-granules, possess liquid-like properties and form via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LLPS is a thermodynamic process wherein macromolecules, above a certain concentration threshold, spontaneously demix from the surrounding solvent to form a distinct, dense liquid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application of this concept to transcription has been transformative, recasting transcription factories as dynamic "transcriptional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new model proposes that weak, multivalent interactions among transcription factors, coactivators, and Pol II drive their co-condensation at specific genomic loci, such as enhancers and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condensates are thought to function by increasing the local concentration of required factors, thereby enhancing reaction rates, buffering against concentration fluctuations, and organizing complex regulatory networks.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However, the field is not monolithic. A central point of debate revolves around the precise physical nature and functional necessity of these assemblies. Two main models have emerged: the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condensate model</w:t>
      </w:r>
      <w:r w:rsidDel="00000000" w:rsidR="00000000" w:rsidRPr="00000000">
        <w:rPr>
          <w:rFonts w:ascii="Google Sans Text" w:cs="Google Sans Text" w:eastAsia="Google Sans Text" w:hAnsi="Google Sans Text"/>
          <w:i w:val="0"/>
          <w:color w:val="1b1c1d"/>
          <w:sz w:val="24"/>
          <w:szCs w:val="24"/>
          <w:rtl w:val="0"/>
        </w:rPr>
        <w:t xml:space="preserve">, which explicitly invokes the formation of a distinct liquid phase via LLPS, and the </w:t>
      </w:r>
      <w:r w:rsidDel="00000000" w:rsidR="00000000" w:rsidRPr="00000000">
        <w:rPr>
          <w:rFonts w:ascii="Google Sans Text" w:cs="Google Sans Text" w:eastAsia="Google Sans Text" w:hAnsi="Google Sans Text"/>
          <w:b w:val="1"/>
          <w:i w:val="0"/>
          <w:color w:val="1b1c1d"/>
          <w:sz w:val="24"/>
          <w:szCs w:val="24"/>
          <w:rtl w:val="0"/>
        </w:rPr>
        <w:t xml:space="preserve">hub model</w:t>
      </w:r>
      <w:r w:rsidDel="00000000" w:rsidR="00000000" w:rsidRPr="00000000">
        <w:rPr>
          <w:rFonts w:ascii="Google Sans Text" w:cs="Google Sans Text" w:eastAsia="Google Sans Text" w:hAnsi="Google Sans Text"/>
          <w:i w:val="0"/>
          <w:color w:val="1b1c1d"/>
          <w:sz w:val="24"/>
          <w:szCs w:val="24"/>
          <w:rtl w:val="0"/>
        </w:rPr>
        <w:t xml:space="preserve">, which describes the clustering of Pol II and regulatory factors without necessarily requiring phase separation.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distinction is critical because the term "condensate" itself is used with varying degrees of biophysical rigor in the literature. Some researchers adhere to a strict definition requiring evidence of liquid-like properties (e.g., sphericity, fusion, rapid internal dynamics) consistent with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Others employ a broader, more operational definition, using "condensate" to describe any dense, non-stoichiometric assembly of transcription-related molecules observed by microscopy, regardless of the underlying formation mechanism or the final material state (which can range from liquid to gel-like or even solid).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semantic and conceptual ambiguity is a significant source of confusion and controversy. It means that studies seemingly investigating the same phenomenon—"transcriptional condensates"—may in fact be describing entities with fundamentally different physical properties. A rigorous critical review must therefore navigate this definitional landscape, carefully evaluating the evidence for specific physical models rather than accepting the "condensate" label at face value.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The Biophysical Basis of Formation: LLPS and Multivalency</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formation of biomolecular condensates via LLPS is governed by fundamental principles of thermodynamics and polymer physics. In a solution, molecules tend to mix to maximize entropy. However, if the energetic favorability of interactions between solute molecules (e.g., protein-protein) outweighs the entropic cost of demixing, the system will spontaneously separate into a solute-rich dense phase and a solute-poor dilute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transition occurs when the concentration of the interacting components exceeds a critical saturation concentration, known as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Csat​.</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Above this threshold, additional protein does not increase the concentration in the dilute phase but instead contributes to the growth of the dense phase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driving force for this process is </w:t>
      </w:r>
      <w:r w:rsidDel="00000000" w:rsidR="00000000" w:rsidRPr="00000000">
        <w:rPr>
          <w:rFonts w:ascii="Google Sans Text" w:cs="Google Sans Text" w:eastAsia="Google Sans Text" w:hAnsi="Google Sans Text"/>
          <w:b w:val="1"/>
          <w:i w:val="0"/>
          <w:color w:val="1b1c1d"/>
          <w:sz w:val="24"/>
          <w:szCs w:val="24"/>
          <w:rtl w:val="0"/>
        </w:rPr>
        <w:t xml:space="preserve">multivalency</w:t>
      </w:r>
      <w:r w:rsidDel="00000000" w:rsidR="00000000" w:rsidRPr="00000000">
        <w:rPr>
          <w:rFonts w:ascii="Google Sans Text" w:cs="Google Sans Text" w:eastAsia="Google Sans Text" w:hAnsi="Google Sans Text"/>
          <w:i w:val="0"/>
          <w:color w:val="1b1c1d"/>
          <w:sz w:val="24"/>
          <w:szCs w:val="24"/>
          <w:rtl w:val="0"/>
        </w:rPr>
        <w:t xml:space="preserve">: the capacity of molecules to engage in multiple, simultaneous, low-affinity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These weak interactions, when summed over a network of molecules, can collectively generate the cohesive energy required for phase separation. In the context of transcription, the key multivalent players are proteins and nucleic acids. The molecular features that confer multivalency are often found within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Intrinsically Disordered Regions (IDRs)</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IDRs are polypeptide segments that do not adopt a stable, folded three-dimensional structure. Their conformational flexibility and exposed backbones and side chains make them ideal platforms for mediating a dynamic web of transient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IDRs are exceptionally common in eukaryotic nuclear proteins, particularly transcription factors (TFs) and coactivators, underscoring their importance in gene 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specific molecular interactions that underpin condensate formation are diverse and include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Electrostatic interactions:</w:t>
      </w:r>
      <w:r w:rsidDel="00000000" w:rsidR="00000000" w:rsidRPr="00000000">
        <w:rPr>
          <w:rFonts w:ascii="Google Sans Text" w:cs="Google Sans Text" w:eastAsia="Google Sans Text" w:hAnsi="Google Sans Text"/>
          <w:i w:val="0"/>
          <w:color w:val="1b1c1d"/>
          <w:sz w:val="24"/>
          <w:szCs w:val="24"/>
          <w:rtl w:val="0"/>
        </w:rPr>
        <w:t xml:space="preserve"> Attractions between oppositely charged residues or domains, which are particularly important in protein-nucleic acid and protein-protein coacervation.</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π-π and Cation-π interactions:</w:t>
      </w:r>
      <w:r w:rsidDel="00000000" w:rsidR="00000000" w:rsidRPr="00000000">
        <w:rPr>
          <w:rFonts w:ascii="Google Sans Text" w:cs="Google Sans Text" w:eastAsia="Google Sans Text" w:hAnsi="Google Sans Text"/>
          <w:i w:val="0"/>
          <w:color w:val="1b1c1d"/>
          <w:sz w:val="24"/>
          <w:szCs w:val="24"/>
          <w:rtl w:val="0"/>
        </w:rPr>
        <w:t xml:space="preserve"> Interactions involving the aromatic side chains of amino acids like tyrosine (Tyr), phenylalanine (Phe), and tryptophan (Trp). Cation-π interactions, between a positively charged residue (like arginine or lysine) and an aromatic ring, are particularly potent.</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Hydrogen bonding and Hydrophobic interactions:</w:t>
      </w:r>
      <w:r w:rsidDel="00000000" w:rsidR="00000000" w:rsidRPr="00000000">
        <w:rPr>
          <w:rFonts w:ascii="Google Sans Text" w:cs="Google Sans Text" w:eastAsia="Google Sans Text" w:hAnsi="Google Sans Text"/>
          <w:i w:val="0"/>
          <w:color w:val="1b1c1d"/>
          <w:sz w:val="24"/>
          <w:szCs w:val="24"/>
          <w:rtl w:val="0"/>
        </w:rPr>
        <w:t xml:space="preserve"> These classic interactions also contribute to the overall cohesion of the network.</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Recent work suggests the existence of a "molecular grammar" encoded within IDR sequences that dictates interaction specificity and condensate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valence (number), spacing, and patterning of specific "sticker" residues (e.g., aromatic Tyr, charged Arg) within a flexible "spacer" sequence determine the phase behavior, material properties (e.g., viscosity, liquidity), and composition of the resulting condensate.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For example, the clustering of tyrosine residues in the low-complexity domain of the FUS protein has been shown to be critical for its phase separation, with computational models suggesting these interactions are key drivers.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This sequence-encoded grammar provides a mechanism for achieving specificity, allowing different types of condensates with distinct compositions and functions to coexist within the crowded nucleus.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The Core Machinery: Key Protein and RNA Components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complex and dynamic interplay between specific proteins and RNA molecules drives the formation and regulation of Pol II condensates. At the center of this machinery is the Pol II enzyme itself, orchestrated by a host of cofactors and regulated by its own transcriptional products.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1.3.1 RNA Polymerase II C-Terminal Domain (CTD)</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largest subunit of Pol II, RPB1, possesses a feature unique among the cellular RNA polymerases: a long, unstructured C-terminal domain (CTD).</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domain consists of tandem repeats of a heptapeptide sequence with the consensus Tyr1-Ser2-Pro3-Thr4-Ser5-Pro6-Ser7.</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 number of repeats varies across eukaryotes, from 26 in yeast to 52 in humans, in a manner that correlates with genomic and regulatory complexity.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The CTD is essential for regulated transcription in vivo, acting as a flexible scaffold that coordinates nearly every stage of the transcription cycle, from initiation and promoter escape to elongation, co-transcriptional RNA processing (splicing and 3' end formation), and termination.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Crucially, the CTD is an IDR and a primary driver of Pol II condensate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In vitro, the unphosphorylated CTD readily undergoes LLPS, forming liquid-like droplets.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This ability to phase separate is directly linked to its function. The increasing length of the CTD during evolution appears to have occurred in parallel with the expansion of alternative splicing, suggesting a profound co-evolutionary link. A longer CTD can form larger or more stable condensates, providing a more effective platform to recruit and organize the increasingly complex machinery required for sophisticated RNA processing in higher eukaryotes.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1.3.2 Post-Translational Modifications (PTMs) of the CTD</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function of the CTD is dynamically regulated by an extensive array of PTMs, primarily phosphorylation, creating what is known as the "CTD code".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Different kinases phosphorylate specific residues at distinct stages of transcription. For example, TFIIH phosphorylates Ser5 during initiation (Ser5P), while P-TEFb phosphorylates Ser2 during the transition to productive elongation (Ser2P).</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These PTMs act as a powerful regulatory switch that directly modulates the biophysical properties of the CTD and its interaction partners. Phosphorylation introduces negative charges that can disrupt the multivalent interactions driving the phase separation of the unphosphorylated CTD, leading to its dissolution.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However, the phosphorylated CTD does not simply become soluble; instead, it gains the ability to interact with a new set of factors, such as splicing and RNA processing machinery, enabling the formation of new, functionally distinct condensates.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For instance, studies show that unphosphorylated CTD forms condensates that recruit initiation factors, while phosphorylation dissolves these and promotes the formation of separate condensates containing splicing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phosphorylation-dependent switching between distinct condensate states provides a physical mechanism for the temporal ordering of transcription. It suggests that the CTD is not merely a passive scaffold but a sophisticated, physically-instantiated information processing hub. The "CTD code" is read out not just as a series of binding sites, but as a set of instructions that dynamically reconfigure the material state and composition of the local transcriptional environment, ensuring the processive and orderly progression from initiation to elongation and RNA maturation. This reframes the evolutionary expansion of the CTD as the development of a more complex biocomputer capable of managing more intricate gene regulatory programs.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C">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1.3.3 Coactivators and Transcription Factors (TFs)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Pol II does not act alone. Its recruitment and regulation are mediated by large coactivator complexes, many of which are themselves potent drivers of phase separation. The </w:t>
      </w:r>
      <w:r w:rsidDel="00000000" w:rsidR="00000000" w:rsidRPr="00000000">
        <w:rPr>
          <w:rFonts w:ascii="Google Sans Text" w:cs="Google Sans Text" w:eastAsia="Google Sans Text" w:hAnsi="Google Sans Text"/>
          <w:b w:val="1"/>
          <w:i w:val="0"/>
          <w:color w:val="1b1c1d"/>
          <w:sz w:val="24"/>
          <w:szCs w:val="24"/>
          <w:rtl w:val="0"/>
        </w:rPr>
        <w:t xml:space="preserve">Mediator complex</w:t>
      </w:r>
      <w:r w:rsidDel="00000000" w:rsidR="00000000" w:rsidRPr="00000000">
        <w:rPr>
          <w:rFonts w:ascii="Google Sans Text" w:cs="Google Sans Text" w:eastAsia="Google Sans Text" w:hAnsi="Google Sans Text"/>
          <w:i w:val="0"/>
          <w:color w:val="1b1c1d"/>
          <w:sz w:val="24"/>
          <w:szCs w:val="24"/>
          <w:rtl w:val="0"/>
        </w:rPr>
        <w:t xml:space="preserve"> is a central player, acting as a molecular bridge between DNA-bound TFs and the core Pol II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Key subunits of Mediator, such as MED1, are enriched in IDRs and have been shown to form condensates in vitro and co-localize with Pol II in nuclear puncta.</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These coactivator condensates are thought to act as scaffolds that concentrate Pol II and TFs at super-enhancers—clusters of enhancers that drive high-level expression of cell identity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Another critical coactivator is </w:t>
      </w:r>
      <w:r w:rsidDel="00000000" w:rsidR="00000000" w:rsidRPr="00000000">
        <w:rPr>
          <w:rFonts w:ascii="Google Sans Text" w:cs="Google Sans Text" w:eastAsia="Google Sans Text" w:hAnsi="Google Sans Text"/>
          <w:b w:val="1"/>
          <w:i w:val="0"/>
          <w:color w:val="1b1c1d"/>
          <w:sz w:val="24"/>
          <w:szCs w:val="24"/>
          <w:rtl w:val="0"/>
        </w:rPr>
        <w:t xml:space="preserve">BRD4</w:t>
      </w:r>
      <w:r w:rsidDel="00000000" w:rsidR="00000000" w:rsidRPr="00000000">
        <w:rPr>
          <w:rFonts w:ascii="Google Sans Text" w:cs="Google Sans Text" w:eastAsia="Google Sans Text" w:hAnsi="Google Sans Text"/>
          <w:i w:val="0"/>
          <w:color w:val="1b1c1d"/>
          <w:sz w:val="24"/>
          <w:szCs w:val="24"/>
          <w:rtl w:val="0"/>
        </w:rPr>
        <w:t xml:space="preserve">, which recognizes acetylated histones and is a hallmark of active enhancers and promoters. BRD4 also forms condensates and is found in puncta with Mediator and Pol II, playing a key role in transcriptional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Many TFs, particularly oncogenic fusion proteins like FUS-CHOP, leverage their own IDRs (often the FUS portion) to partition into or nucleate these condensates, leading to aberrant gene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Similarly, the coactivator myocardin (MYOCD) requires its IDR-driven ability to form condensates to activate its target genes in a switch-like, concentration-dependent manner.</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1.3.4 The Multifaceted Role of RNA</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RNA is far more than the passive output of transcription; it is an active and potent regulator of the condensates from which it is produced.</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As a flexible, anionic polymer, RNA can engage in multivalent interactions with proteins, modulating condensate formation in a concentration-dependent manner.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has led to the "reentrant phase transition" model, which proposes an RNA-mediated feedback loop.</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At low concentrations, nascent RNA transcripts can act as scaffolds, promoting condensate formation by bridging multiple protein components. This may be particularly true for short, unstable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enhancer RNAs (eRNAs)</w:t>
      </w:r>
      <w:r w:rsidDel="00000000" w:rsidR="00000000" w:rsidRPr="00000000">
        <w:rPr>
          <w:rFonts w:ascii="Google Sans Text" w:cs="Google Sans Text" w:eastAsia="Google Sans Text" w:hAnsi="Google Sans Text"/>
          <w:i w:val="0"/>
          <w:color w:val="1b1c1d"/>
          <w:sz w:val="24"/>
          <w:szCs w:val="24"/>
          <w:rtl w:val="0"/>
        </w:rPr>
        <w:t xml:space="preserve">, which are transcribed from active enhancers and have been shown to promote condensate assembly and prolong TF occupancy.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However, as transcription proceeds and the concentration of longer mRNA transcripts increases, the RNA can have the opposite effect. At high concentrations, the high negative charge density of RNA can lead to repulsive electrostatic interactions that dissolve the condensate, or RNA can sequester protein components, titrating them out of the interaction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reentrant behavior provides an elegant mechanism for self-regulation, potentially underlying the phenomenon of transcriptional bursting, where condensates form to initiate a burst of transcription and are then dissolved by their own products, resetting the system for the next cycle.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2: Visualizing Condensate Architecture with Super-Resolution Microscopy</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diffraction limit of light long obscured the true nanoscale organization of the nucleus. The advent of super-resolution microscopy (SRM) has provided an unprecedented window into the architecture of Pol II assemblies, revealing a world of structural complexity and heterogeneity that challenges simple models and provides crucial clues to function. These techniques, which achieve resolutions down to tens of nanometers, have been instrumental in moving the field beyond the concept of amorphous "factories" toward a more nuanced understanding of the structure of transcriptional condensates.</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Nanoscale Morphology and Organization</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Early models envisioned a few hundred large, stable transcription factories per nucleus. SRM has largely replaced this picture with a more complex and dynamic view. Rather than uniform structures, Pol II exists in a heterogeneous population of clusters varying in size, shape, and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Landmark studies using live-cell instantaneous Structured Illumination Microscopy (iSIM) in pluripotent zebrafish embryos revealed that clusters of the initiating form of Pol II (phosphorylated on Serine 5 of the CTD, or Ser5P) are long-lived, persisting for over 10 minutes, but exhibit a remarkable diversity of shapes.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These were broadly classified into three morphological types: (i) small, dot-like clusters; (ii) larger, relatively compact clusters; and (iii) larger clusters with complex, "unfolded" shapes resembling donuts, crescents, or the intricate Indian sweet, Jalebi.</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The existence of such non-spherical, irregular morphologies is a key finding, as it is inconsistent with the behavior of simple liquid droplets, which are expected to adopt a spherical shape to minimize surface tension.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Complementary studies in human cells using quantitative single-molecule localization microscopy (SMLM) techniques like Stochastic Optical Reconstruction Microscopy (STORM) and DNA-PAINT have provided detailed stoichiometric information. These analyses revealed that the fundamental units of transcription, termed "RNA factories" or "RNA nanodomains," are surprisingly small.</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Rather than containing tens or hundreds of polymerases, the majority of active Pol II clusters were found to consist of only a few molecules, with an average of approximately 3.4 elongating Pol II molecules per cluster.</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These small Pol II clusters are intimately associated with discrete "RNA nanodomains"—highly dense, sub-diffraction-limited structures of nascent RNA.</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This stoichiometric evidence argues against the model of large, pre-assembled factories and points towards a more localized, gene-centric model of organization where small, transient clusters form to transcribe individual or small groups of genes.</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Surface Condensation: An Alternative to Bulk LLPS?</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observation of irregular, non-spherical Pol II cluster morphologies poses a significant challenge to the canonical LLPS model of condensate formation. To reconcile these structural data with the biophysical principles of phase separation, an alternative model of </w:t>
      </w:r>
      <w:r w:rsidDel="00000000" w:rsidR="00000000" w:rsidRPr="00000000">
        <w:rPr>
          <w:rFonts w:ascii="Google Sans Text" w:cs="Google Sans Text" w:eastAsia="Google Sans Text" w:hAnsi="Google Sans Text"/>
          <w:b w:val="1"/>
          <w:i w:val="0"/>
          <w:color w:val="1b1c1d"/>
          <w:sz w:val="24"/>
          <w:szCs w:val="24"/>
          <w:rtl w:val="0"/>
        </w:rPr>
        <w:t xml:space="preserve">surface condensation</w:t>
      </w:r>
      <w:r w:rsidDel="00000000" w:rsidR="00000000" w:rsidRPr="00000000">
        <w:rPr>
          <w:rFonts w:ascii="Google Sans Text" w:cs="Google Sans Text" w:eastAsia="Google Sans Text" w:hAnsi="Google Sans Text"/>
          <w:i w:val="0"/>
          <w:color w:val="1b1c1d"/>
          <w:sz w:val="24"/>
          <w:szCs w:val="24"/>
          <w:rtl w:val="0"/>
        </w:rPr>
        <w:t xml:space="preserve"> has been proposed.</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model posits that transcriptional condensates do not form as free-floating droplets in the bulk nucleoplasm but rather as a liquid-like film that "wets" or coats the surface of regulatory chromatin regions, such as super-enhancers.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this framework, the chromatin fiber acts as a multivalent scaffold or surface that templates the condensation process. The final morphology of the condensate is therefore not determined by its own surface tension but is dictated by the underlying 3D path of the chromatin template.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elegantly explains the emergence of complex, unfolded shapes like those observed in zebrafish embryos; they are simply a reflection of the convoluted structure of the enhancer and promoter DNA that nucleated the condensate. This model is supported by simulations and chemical perturbation experiments. Simulations show that particles with self-affinity (representing Pol II) and affinity for a polymer scaffold (representing regulatory chromatin) can form condensates with diverse shapes that track the polymer, even at concentrations too low for phase separation to occur in the bulk 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concept of chromatin-templated surface condensation provides a powerful framework for reconciling the historical debate between large, stable "factories" and small, transient "clusters." The size, stability, and morphology of a Pol II condensate may not be intrinsic properties but rather emergent features determined by the regulatory landscape of the underlying chromatin. A large, complex super-enhancer containing a high density of TF binding sites could template a large, intricate, and relatively stable "factory-like" condensate, corresponding to the type iii morphologies observed with iSIM. Conversely, a single promoter with weaker or fewer TF binding sites might only nucleate a small, dot-like, and more transient "cluster," corresponding to type i. The apparent discrepancies in the literature regarding condensate size and stability may therefore not be contradictions at all, but accurate reflections of the vast diversity of genomic contexts being imaged. The factory and the cluster may simply represent two ends of a continuous spectrum of chromatin-templated assemblies.</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Internal Structure and Heterogeneity</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Dual-color SRM has peeled back the surface of these condensates to reveal a remarkable degree of internal organization and heterogeneity, providing strong support for a model in which condensates are not merely reaction crucibles but highly structured, processive machines.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key finding is the spatial segregation of different functional forms of Pol II. In the complex type iii clusters, the initiating form (Ser5P) tends to form a central core, while the elongating form (Ser2P) is enriched at the periphery or in adjacent, non-overlapping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spatial arrangement strongly suggests a vectoral flow of activity, where Pol II is recruited and initiated within the core of the condensate and then transitions to an elongation-competent state as it moves towards the exterior. This observation is consistent with the surface condensation model, which further posits that actively elongating Pol II, and the transcribed gene body it is tracking, are physically excluded from the condensed liquid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exclusion of the elongating complex is proposed to be the very mechanism that drives the "unfolding" of the condensate, creating the observed complex morphologies.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dynamic interplay suggests that the condensate is a self-regulating, processive assembly line. The initiation machinery (e.g., Mediator, unphosphorylated or Ser5P-Pol II) self-assembles on regulatory DNA to form the condensate core. The act of transcription initiation and the subsequent phosphorylation of the CTD to the Ser2P state alters the biophysical properties of the polymerase, causing its expulsion from the initiation-focused liquid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As the elongating polymerase translocates along the DNA template, it effectively pulls the transcribed gene out of the condensate. This process creates a natural separation between the biochemical environments required for initiation and those required for elongation and co-transcriptional RNA processing, which occurs on the Ser2P-CTD platform. Thus, the very act of transcription drives the remodeling and partial disassembly of the structure that enabled it, ensuring directionality and preventing futile cycles.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 complexity is revealed by computational models and advanced imaging. Molecular dynamics simulations predict that condensates can be multiphasic, with different components demixing from each other to form nested, core-shell structures. For example, unphosphorylated CTD and phosphorylated CTD (bound to its partner, Cyclin T1) are predicted to form partially engulfed, co-existing phases, providing a physical basis for segregating different steps of the transcription cycle within a single overarching 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At an even finer scale, single-molecule tracking experiments have identified distinct</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nanodomains</w:t>
      </w:r>
      <w:r w:rsidDel="00000000" w:rsidR="00000000" w:rsidRPr="00000000">
        <w:rPr>
          <w:rFonts w:ascii="Google Sans Text" w:cs="Google Sans Text" w:eastAsia="Google Sans Text" w:hAnsi="Google Sans Text"/>
          <w:i w:val="0"/>
          <w:color w:val="1b1c1d"/>
          <w:sz w:val="24"/>
          <w:szCs w:val="24"/>
          <w:rtl w:val="0"/>
        </w:rPr>
        <w:t xml:space="preserve"> within individual condensates. These are nanometer-scale regions where both proteins and RNA molecules exhibit significantly slower, confined diffusion compared to the rest of the condensate volume.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These nanodomains likely represent areas of higher local molecular connectivity or altered physicochemical properties, and they may play critical roles in regulating molecular retention times and pathological processes like the fibrillization of disease-associated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3: Probing Condensate Function through Live-Cell Dynamics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super-resolution microscopy provides invaluable static snapshots of condensate architecture, understanding their function requires observing them in action. A suite of live-cell imaging techniques has been deployed to measure the kinetics of molecular exchange, diffusion, and binding, linking the dynamic behavior of Pol II and its associated factors to the regulation of transcriptional output. These studies have revealed a system characterized by remarkable dynamism, kinetic heterogeneity, and a direct, quantitative link between the physical properties of condensates and their functional consequences.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Ensemble Kinetics: Turnover and Residence Times via FRAP</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Fluorescence Recovery After Photobleaching (FRAP) has been a workhorse technique for measuring the ensemble-level dynamics of proteins in living cells. In a typical FRAP experiment, a population of fluorescently tagged molecules in a specific region (e.g., a gene locus) is irreversibly photobleached with a high-intensity laser pulse, and the rate at which fluorescence recovers due to the influx of unbleached molecules from the surrounding area is measured. This recovery rate provides information about the mobility and binding kinetics of the molecular population.</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FRAP studies of Pol II at activated gene arrays have consistently revealed that the recovery curve is not a single exponential, but is best fit by a model with multiple kinetically distinct populations.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These populations are generally interpreted as follows:</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 fast-recovering fraction:</w:t>
      </w:r>
      <w:r w:rsidDel="00000000" w:rsidR="00000000" w:rsidRPr="00000000">
        <w:rPr>
          <w:rFonts w:ascii="Google Sans Text" w:cs="Google Sans Text" w:eastAsia="Google Sans Text" w:hAnsi="Google Sans Text"/>
          <w:i w:val="0"/>
          <w:color w:val="1b1c1d"/>
          <w:sz w:val="24"/>
          <w:szCs w:val="24"/>
          <w:rtl w:val="0"/>
        </w:rPr>
        <w:t xml:space="preserve"> This component, with a residence time of seconds, is thought to represent transient, non-productive interactions of Pol II with promoter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An intermediate fraction:</w:t>
      </w:r>
      <w:r w:rsidDel="00000000" w:rsidR="00000000" w:rsidRPr="00000000">
        <w:rPr>
          <w:rFonts w:ascii="Google Sans Text" w:cs="Google Sans Text" w:eastAsia="Google Sans Text" w:hAnsi="Google Sans Text"/>
          <w:i w:val="0"/>
          <w:color w:val="1b1c1d"/>
          <w:sz w:val="24"/>
          <w:szCs w:val="24"/>
          <w:rtl w:val="0"/>
        </w:rPr>
        <w:t xml:space="preserve"> With a residence time on the order of tens of seconds to a minute, this population is attributed to Pol II molecules engaged in transcription initiation and promoter-proximal pausing.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For example, one study measured a residence time of approximately 42 seconds for promoter-paused Pol II.</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 slow-recovering fraction:</w:t>
      </w:r>
      <w:r w:rsidDel="00000000" w:rsidR="00000000" w:rsidRPr="00000000">
        <w:rPr>
          <w:rFonts w:ascii="Google Sans Text" w:cs="Google Sans Text" w:eastAsia="Google Sans Text" w:hAnsi="Google Sans Text"/>
          <w:i w:val="0"/>
          <w:color w:val="1b1c1d"/>
          <w:sz w:val="24"/>
          <w:szCs w:val="24"/>
          <w:rtl w:val="0"/>
        </w:rPr>
        <w:t xml:space="preserve"> This component, with a residence time of many minutes (e.g., ~23 minutes in one study </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corresponds to the population of Pol II molecules that are processively elongating along the gene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Quantitative modeling of FRAP data has provided critical insights into the efficiency of transcription. These models suggest that the process can be remarkably inefficient, with a large number of initial binding events being abortive. One study estimated that only about 1 in 90 Pol II molecules that initially interact with the promoter successfully transition to productive elongation, suggesting that commitment to elongation is a key regulatory checkpoint.</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FRAP has also been used to measure the rate of transcription elongation itself. By focusing on the recovery of fluorescence from labeled nascent mRNAs, researchers have measured elongation rates as high as 4.3 kilobases per minute, significantly faster than earlier estimates.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These studies also uncovered a population of polymerases that enter a paused state for cumulatively long periods (minutes) at sites distal to the promoter, a phenomenon distinct from well-characterized promoter-proximal pausing and detectable only through such time-resolved live-cell measurements.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Single-Molecule Dynamics: Tracking Individual Factors in a Crowded Milieu</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FRAP provides valuable ensemble averages, it masks the behavior of individual molecules. Single-Molecule Tracking (SMT) overcomes this limitation by visualizing and tracking individual fluorescently-labeled proteins, providing a much more granular view of their diffusion and binding behavior 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SMT studies of transcription factors have led to a paradigm-shifting discovery that challenges the classical two-state model of DNA binding (i.e., fast, non-specific binding vs. slow, specific binding). Instead of observing dwell time distributions that fit a simple bi-exponential decay, numerous studies have found that the distribution of TF residence times on chromatin is better described by a </w:t>
      </w:r>
      <w:r w:rsidDel="00000000" w:rsidR="00000000" w:rsidRPr="00000000">
        <w:rPr>
          <w:rFonts w:ascii="Google Sans Text" w:cs="Google Sans Text" w:eastAsia="Google Sans Text" w:hAnsi="Google Sans Text"/>
          <w:b w:val="1"/>
          <w:i w:val="0"/>
          <w:color w:val="1b1c1d"/>
          <w:sz w:val="24"/>
          <w:szCs w:val="24"/>
          <w:rtl w:val="0"/>
        </w:rPr>
        <w:t xml:space="preserve">power-law</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A power-law distribution lacks a characteristic mean and is "scale-free," meaning that extremely long binding events are much more probable than would be predicted by an exponential model.</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observation suggests that TFs do not simply exist in two or three discrete kinetic states but rather experience a </w:t>
      </w:r>
      <w:r w:rsidDel="00000000" w:rsidR="00000000" w:rsidRPr="00000000">
        <w:rPr>
          <w:rFonts w:ascii="Google Sans Text" w:cs="Google Sans Text" w:eastAsia="Google Sans Text" w:hAnsi="Google Sans Text"/>
          <w:b w:val="1"/>
          <w:i w:val="0"/>
          <w:color w:val="1b1c1d"/>
          <w:sz w:val="24"/>
          <w:szCs w:val="24"/>
          <w:rtl w:val="0"/>
        </w:rPr>
        <w:t xml:space="preserve">continuum of binding affinities</w:t>
      </w:r>
      <w:r w:rsidDel="00000000" w:rsidR="00000000" w:rsidRPr="00000000">
        <w:rPr>
          <w:rFonts w:ascii="Google Sans Text" w:cs="Google Sans Text" w:eastAsia="Google Sans Text" w:hAnsi="Google Sans Text"/>
          <w:i w:val="0"/>
          <w:color w:val="1b1c1d"/>
          <w:sz w:val="24"/>
          <w:szCs w:val="24"/>
          <w:rtl w:val="0"/>
        </w:rPr>
        <w:t xml:space="preserve">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This model provides a powerful conceptual bridge between the structural heterogeneity of the nucleus revealed by SRM and the kinetic heterogeneity observed with SMT. The classical two-state model implicitly assumes a relatively homogenous nuclear environment. The continuum model, in contrast, is perfectly consistent with a TF diffusing through a complex, rugged landscape comprising different chromatin compaction states, a wide variety of specific and non-specific DNA sequences, and, crucially, biomolecular condensates with their own internal nanodomains. A TF diffusing within the dense phase of a condensate would experience a different local environment and exhibit different kinetics than one in the dilute nucleoplasm. A TF that becomes transiently trapped within a high-connectivity nanodomain inside a condensate would exhibit a much longer residence time than one binding to a more accessible site at the condensate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 power-law distribution observed in whole-nucleus SMT is therefore likely the ensemble average of individual molecules sampling this vast range of biophysical microenvironments, providing an integrated readout of the nucleus's complex organizational and energetic landscape.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Linking Dynamics to Function: Transcriptional Bursting and Output</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ultimate goal of studying condensate dynamics is to understand how they regulate gene expression. Live-cell imaging has forged a direct, quantitative link between the dynamic properties of Pol II clusters and the production of mRNA, primarily through the phenomenon of transcriptional bursting—the observation that genes are not transcribed at a steady rate but in sporadic, high-intensity bursts.</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Pioneering studies combining live-cell super-resolution imaging (PALM) with nascent mRNA labeling provided a breakthrough in this area.</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By simultaneously visualizing Pol II clusters and counting the number of mRNA molecules produced at the endogenous β-actin gene locus, researchers found a direct and predictive correlation: the</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lifetime</w:t>
      </w:r>
      <w:r w:rsidDel="00000000" w:rsidR="00000000" w:rsidRPr="00000000">
        <w:rPr>
          <w:rFonts w:ascii="Google Sans Text" w:cs="Google Sans Text" w:eastAsia="Google Sans Text" w:hAnsi="Google Sans Text"/>
          <w:i w:val="0"/>
          <w:color w:val="1b1c1d"/>
          <w:sz w:val="24"/>
          <w:szCs w:val="24"/>
          <w:rtl w:val="0"/>
        </w:rPr>
        <w:t xml:space="preserve"> of a transient Pol II cluster dictates the size of the transcriptional burst. Under basal conditions, the gene exhibited short-lived Pol II clusters (average lifetime ~8 seconds) that correlated with low-level mRNA output. Upon serum stimulation, which induces a strong transcriptional response, the lifetime of the Pol II clusters stereotypically increased, and this increase was met with a directly proportionate increase in the number of mRNAs synthesized.</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finding is of fundamental importance. It suggests that a key regulatory control point for gene expression lies in modulating the physical stability of the local transcriptional assembly. This reframes the regulation of gene expression from a simple on/off switch (recruitment vs. no recruitment) to a tunable rheostat. Cells can precisely control not just </w:t>
      </w:r>
      <w:r w:rsidDel="00000000" w:rsidR="00000000" w:rsidRPr="00000000">
        <w:rPr>
          <w:rFonts w:ascii="Google Sans Text" w:cs="Google Sans Text" w:eastAsia="Google Sans Text" w:hAnsi="Google Sans Text"/>
          <w:i w:val="1"/>
          <w:color w:val="1b1c1d"/>
          <w:sz w:val="24"/>
          <w:szCs w:val="24"/>
          <w:rtl w:val="0"/>
        </w:rPr>
        <w:t xml:space="preserve">whether</w:t>
      </w:r>
      <w:r w:rsidDel="00000000" w:rsidR="00000000" w:rsidRPr="00000000">
        <w:rPr>
          <w:rFonts w:ascii="Google Sans Text" w:cs="Google Sans Text" w:eastAsia="Google Sans Text" w:hAnsi="Google Sans Text"/>
          <w:i w:val="0"/>
          <w:color w:val="1b1c1d"/>
          <w:sz w:val="24"/>
          <w:szCs w:val="24"/>
          <w:rtl w:val="0"/>
        </w:rPr>
        <w:t xml:space="preserve"> a gene is on, but </w:t>
      </w:r>
      <w:r w:rsidDel="00000000" w:rsidR="00000000" w:rsidRPr="00000000">
        <w:rPr>
          <w:rFonts w:ascii="Google Sans Text" w:cs="Google Sans Text" w:eastAsia="Google Sans Text" w:hAnsi="Google Sans Text"/>
          <w:i w:val="1"/>
          <w:color w:val="1b1c1d"/>
          <w:sz w:val="24"/>
          <w:szCs w:val="24"/>
          <w:rtl w:val="0"/>
        </w:rPr>
        <w:t xml:space="preserve">how much</w:t>
      </w:r>
      <w:r w:rsidDel="00000000" w:rsidR="00000000" w:rsidRPr="00000000">
        <w:rPr>
          <w:rFonts w:ascii="Google Sans Text" w:cs="Google Sans Text" w:eastAsia="Google Sans Text" w:hAnsi="Google Sans Text"/>
          <w:i w:val="0"/>
          <w:color w:val="1b1c1d"/>
          <w:sz w:val="24"/>
          <w:szCs w:val="24"/>
          <w:rtl w:val="0"/>
        </w:rPr>
        <w:t xml:space="preserve"> it is on, by fine-tuning the molecular interactions that dictate the stability and lifetime of the local transcriptional condensate. Factors that stabilize condensates—such as higher local TF concentrations, specific PTMs, or scaffolding by eRNAs—would be predicted to lengthen cluster lifetime and thus increase transcriptional burst size and/or frequency. Conversely, factors that destabilize condensates, such as the accumulation of nascent mRNA transcripts as predicted by the reentrant phase model, would shorten cluster lifetime and terminate the burst. This provides a clear, biophysically grounded mechanism for the dynamic and analog control of gene expression. Computational models fit to these single-cell data suggest that a typical transcriptional burst involves the clustering of approximately 5 to 40 Pol II molecules around the promoter.</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4: The Condensate Debate: Correlation, Causality, and Competing Models</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emergence of the LLPS model for transcription has ignited a vibrant and often contentious debate within the field. While the model is conceptually elegant and supported by a growing body of correlative evidence, establishing a definitive causal link between phase separation and transcriptional regulation in vivo has proven to be exceptionally challenging. This section critically evaluates the central controversies, examines the limitations of common experimental approaches, and explores alternative and unified models that seek to reconcile conflicting observations.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6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Assessing the Evidence: Is LLPS Necessary for Transcriptional Regulation?</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Much of the evidence supporting a functional role for LLPS in transcription is correlative. Key observations include: (i) the colocalization of Pol II, TFs, and coactivators in nuclear puncta or foci; (ii) the prevalence of IDRs, known drivers of LLPS, in these same proteins; and (iii) the ability of purified versions of these proteins to form liquid-like droplets in vitro.</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While suggestive, these correlations do not prove that phase separation is the mechanism of cluster formation in vivo or that it is required for their function.</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To test for causality, researchers have turned to perturbation experiments, but these come with significant caveats. A widely used tool is the aliphatic alcohol </w:t>
      </w:r>
      <w:r w:rsidDel="00000000" w:rsidR="00000000" w:rsidRPr="00000000">
        <w:rPr>
          <w:rFonts w:ascii="Google Sans Text" w:cs="Google Sans Text" w:eastAsia="Google Sans Text" w:hAnsi="Google Sans Text"/>
          <w:b w:val="1"/>
          <w:i w:val="0"/>
          <w:color w:val="1b1c1d"/>
          <w:sz w:val="24"/>
          <w:szCs w:val="24"/>
          <w:rtl w:val="0"/>
        </w:rPr>
        <w:t xml:space="preserve">1,6-hexanediol</w:t>
      </w:r>
      <w:r w:rsidDel="00000000" w:rsidR="00000000" w:rsidRPr="00000000">
        <w:rPr>
          <w:rFonts w:ascii="Google Sans Text" w:cs="Google Sans Text" w:eastAsia="Google Sans Text" w:hAnsi="Google Sans Text"/>
          <w:i w:val="0"/>
          <w:color w:val="1b1c1d"/>
          <w:sz w:val="24"/>
          <w:szCs w:val="24"/>
          <w:rtl w:val="0"/>
        </w:rPr>
        <w:t xml:space="preserve">, which is thought to disrupt the weak hydrophobic interactions that contribute to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While treatment with 1,6-hexanediol can dissolve certain transcriptional condensates, its utility as a specific probe for LLPS is highly questionable. The compound is known to have numerous off-target effects; it can disrupt a wide range of weak interactions, not just those involved in LLPS, and has been shown to alter chromatin structure and globally affect cellular processes, making it difficult to attribute any observed effect on transcription solely to the dissolution of a liquid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common strategy involves mutagenesis of IDRs. The logic is that if an IDR drives phase separation, its deletion or mutation should abrogate both condensate formation and transcriptional activation, thus establishing a causal link.</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However, this approach suffers from what can be termed the "blunt mutagenesis conundrum." The multivalent motifs within IDRs are not only responsible for the low-affinity, promiscuous interactions that drive LLPS but are also frequently involved in mediating specific, higher-affinity "lock-and-key" interactions with essential partners, such as the Mediator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Consequently, deleting or swapping an entire IDR is a blunt tool that perturbs multiple functions simultaneously. The resulting loss of transcriptional activity cannot be unambiguously assigned to the loss of phase separation, as it could equally be due to the disruption of a critical protein-protein interaction required for the assembly of a functional, soluble pre-initiation complex.</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some studies have provided direct evidence that challenges a simple, universal requirement for LLPS. For example, a detailed analysis of the yeast transcription factor Gcn4 showed that the propensity of different Gcn4 variants to undergo homotypic phase separation (i.e., to form condensates on their own) did not correlate well with their ability to activate transcription in vivo.</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finding suggests that, at least for some factors, the ability to form a condensate is not the primary determinant of function.</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Reconciling Opposing Views: A Unified Model of Soluble Complexes and Condensates</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intense debate over whether function is mediated by soluble complexes or phase-separated condensates may be based on a false dichotomy. An emerging perspective suggests that these are not mutually exclusive models but rather two regimes of a continuous spectrum of behavior, both driven by the same underlying principle of multivalency.</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multivalent interactions between a TF and a coactivator like Mediator can lead to the formation of a range of assemblies. At low concentrations, below the critical threshold (Csat​) for macroscopic phase separation, these interactions can still drive the formation of small, soluble, higher-order complexes or "pre-percolation clusters".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These dynamic, non-stoichiometric assemblies may be fully sufficient to carry out the necessary regulatory functions, such as recruiting Pol II and activating transcription, without the need for a distinct liquid phase to form. As the concentration of components increases, this network of interactions can percolate and cross the phase boundary, leading to the formation of a large, microscopically visible condensate.</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Gcn4-Med15 system in yeast provides a compelling case study. The ability of Gcn4 variants to form soluble complexes with the Med15 coactivator subunit was found to be highly intertwined with their ability to co-phase separate with Med15.</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indicates that the driving forces for both phenomena are largely the same. Crucially, the study found that Gcn4 variants engineered to have the highest affinity for Med15, which were also the most prone to phase separation, actually exhibited</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attenuated</w:t>
      </w:r>
      <w:r w:rsidDel="00000000" w:rsidR="00000000" w:rsidRPr="00000000">
        <w:rPr>
          <w:rFonts w:ascii="Google Sans Text" w:cs="Google Sans Text" w:eastAsia="Google Sans Text" w:hAnsi="Google Sans Text"/>
          <w:i w:val="0"/>
          <w:color w:val="1b1c1d"/>
          <w:sz w:val="24"/>
          <w:szCs w:val="24"/>
          <w:rtl w:val="0"/>
        </w:rPr>
        <w:t xml:space="preserve"> transcriptional activity in vivo.</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suggests that for some systems, crossing the phase boundary and forming a stable condensate may be functionally detrimental, perhaps by creating kinetically trapped states that sequester components or impede the dynamic exchange required for efficient transcription.</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unified view suggests that the functionally important event is the establishment of a multivalent interaction network. Whether this network exists as a population of soluble oligomers or as a macroscopic phase-separated condensate may be context-dependent. This helps to explain how transcription can occur robustly in cells that lack visible puncta, while also accounting for the formation of large condensates at highly active sites like super-enhancers.</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The Role of Chromatin as an Active Scaffold</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debate over condensate formation cannot be divorced from its nuclear context, and chromatin is far from a passive bystander. It is an active participant that templates, scaffolds, and regulates transcriptional condensates. Indeed, chromatin itself is a complex polymer that can be considered a phase-separated system, capable of forming its own liquid-like condensates driven by internucleosomal interactions, although on a global scale it often behaves as a more constrained, gel-like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local state of chromatin profoundly influences the formation of transcriptional condensates. Open, accessible euchromatin, often marked by post-translational modifications like histone acetylation, provides a permissive environment for condensate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While acetylation leads to chromatin decompaction, it is still compatible with phase separation, potentially creating large, liquid-like domains that are primed for transcriptional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Conversely, densely packed heterochromatin can restrict condensate growth and coalescence.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genomic distribution of TF binding sites also plays a key role; regions with a high density and clustering of binding motifs, characteristic of super-enhancers, are potent nucleators of condensate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interplay is bidirectional. While chromatin scaffolds condensates, the condensates can, in turn, organize the 3D genome. The coalescence of smaller condensates nucleated on distal enhancer and promoter elements, driven by surface tension, has been proposed as a mechanism for bringing these genomic regions into close spatial proximity, forming functional chromatin loops and hubs.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suggests a feedback loop where chromatin architecture dictates condensate location, and condensate biophysics helps to shape chromatin architecture.</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complex interplay leads to the conclusion that the role of LLPS in transcription is likely highly context-dependent. For some biological processes, such as developmental cell fate decisions that require a sharp, switch-like response, the extreme cooperativity of phase separation might be essential. The muscle-specific TF MyoD, for example, appears to use a concentration-dependent phase transition to trigger a robust gene activation program and cellular reprogramming.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For other genes that require more graded, analog control, the system may be tuned to operate in the sub-saturation, "soluble complex" regime. Pathological states, such as those driven by oncogenic fusion proteins like FUS-CHOP, may arise from the aberrant formation of condensates at inappropriate loci or with altered material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Therefore, a universal, all-or-nothing role for LLPS is unlikely; instead, its functional consequences depend on the specific molecular players, the genomic context, and the desired regulatory outcome.</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5: Methodological Challenges and the Path Forward</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Pol II condensates pushes the boundaries of modern cell biology, relying on a sophisticated and rapidly evolving toolkit of imaging, biochemical, and computational methods. However, these advanced techniques are not without their own significant challenges and potential for artifacts. A critical understanding of these limitations is essential for accurately interpreting experimental data and for designing the next generation of experiments that can definitively resolve the outstanding questions in the field. This section outlines the major methodological hurdles, highlights the emerging technologies that promise to overcome them, and proposes a path forward for future research.</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The Observer Effect: Phototoxicity and Labeling Artifacts in High-Resolution Imaging</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fundamental challenge in all live-cell imaging, which is particularly acute for the high-intensity illumination regimes required by many SRM techniques, is the "observer effect": the act of observation can perturb or damage the very system being studied.</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Phototoxicity</w:t>
      </w:r>
      <w:r w:rsidDel="00000000" w:rsidR="00000000" w:rsidRPr="00000000">
        <w:rPr>
          <w:rFonts w:ascii="Google Sans Text" w:cs="Google Sans Text" w:eastAsia="Google Sans Text" w:hAnsi="Google Sans Text"/>
          <w:i w:val="0"/>
          <w:color w:val="1b1c1d"/>
          <w:sz w:val="24"/>
          <w:szCs w:val="24"/>
          <w:rtl w:val="0"/>
        </w:rPr>
        <w:t xml:space="preserve"> is a primary concern. The high-energy photons used for fluorescence excitation can react with cellular molecules (both endogenous photosensitizers like flavins and exogenous fluorophores) to generate reactive oxygen species (ROS). These ROS can damage lipids, proteins, and DNA, leading to a cascade of cellular stress responses, altered morphology, cell cycle arrest, and even apoptosis.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This photodamage can severely compromise the biological validity of an experiment, as the observed cellular behavior may be an artifact of light-induced stress rather than a true physiological process. The sensitivity to phototoxicity varies significantly between cell types, developmental stages, and even different organelles within the same cell, necessitating careful controls and the use of the lowest possible light dose.</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Strategies to mitigate phototoxicity include the use of more photostable fluorophores, specialized imaging media lacking photosensitizing components, and advanced microscopy modalities like light-sheet illumination that minimize out-of-focus exposure.</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Labeling artifacts</w:t>
      </w:r>
      <w:r w:rsidDel="00000000" w:rsidR="00000000" w:rsidRPr="00000000">
        <w:rPr>
          <w:rFonts w:ascii="Google Sans Text" w:cs="Google Sans Text" w:eastAsia="Google Sans Text" w:hAnsi="Google Sans Text"/>
          <w:i w:val="0"/>
          <w:color w:val="1b1c1d"/>
          <w:sz w:val="24"/>
          <w:szCs w:val="24"/>
          <w:rtl w:val="0"/>
        </w:rPr>
        <w:t xml:space="preserve"> present another major hurdle. The most common method for visualizing a protein of interest is to fuse it to a fluorescent protein (FP). However, the overexpression of these fusion proteins, a common outcome of transient transfection, can lead to non-physiological concentrations that may drive artifactual aggregation or phase separation.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Furthermore, the FP tag itself is a bulky protein that can interfere with the normal function, localization, or interaction network of the protein of interest. To address this, the field is increasingly moving towards CRISPR/Cas9-mediated knock-in of tags at the endogenous locus to ensure physiological expression levels. Alternative labeling strategies, such as smaller self-labeling tags (e.g., HaloTag, SNAP-tag) that can be conjugated to bright, stable, and cell-permeable organic dyes, offer improved photophysical properties over FPs.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r w:rsidDel="00000000" w:rsidR="00000000" w:rsidRPr="00000000">
        <w:rPr>
          <w:rFonts w:ascii="Google Sans Text" w:cs="Google Sans Text" w:eastAsia="Google Sans Text" w:hAnsi="Google Sans Text"/>
          <w:i w:val="0"/>
          <w:color w:val="1b1c1d"/>
          <w:sz w:val="24"/>
          <w:szCs w:val="24"/>
          <w:rtl w:val="0"/>
        </w:rPr>
        <w:t xml:space="preserve"> Antibody-based approaches, like VANIMA, which deliver labeled antibodies or Fab fragments into living cells, provide a means to visualize endogenous, untagged proteins or specific PTMs, though they come with their own challenges related to delivery efficiency and potential interference by the antibody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Finally, there are significant challenges in </w:t>
      </w:r>
      <w:r w:rsidDel="00000000" w:rsidR="00000000" w:rsidRPr="00000000">
        <w:rPr>
          <w:rFonts w:ascii="Google Sans Text" w:cs="Google Sans Text" w:eastAsia="Google Sans Text" w:hAnsi="Google Sans Text"/>
          <w:b w:val="1"/>
          <w:i w:val="0"/>
          <w:color w:val="1b1c1d"/>
          <w:sz w:val="24"/>
          <w:szCs w:val="24"/>
          <w:rtl w:val="0"/>
        </w:rPr>
        <w:t xml:space="preserve">correlating structure with function</w:t>
      </w:r>
      <w:r w:rsidDel="00000000" w:rsidR="00000000" w:rsidRPr="00000000">
        <w:rPr>
          <w:rFonts w:ascii="Google Sans Text" w:cs="Google Sans Text" w:eastAsia="Google Sans Text" w:hAnsi="Google Sans Text"/>
          <w:i w:val="0"/>
          <w:color w:val="1b1c1d"/>
          <w:sz w:val="24"/>
          <w:szCs w:val="24"/>
          <w:rtl w:val="0"/>
        </w:rPr>
        <w:t xml:space="preserve">. Fixed-cell SRM provides high-resolution structural snapshots, but chemical fixation can introduce its own artifacts and all dynamic information is lost.</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Live-cell SRM techniques like PALM/STORM often have slow acquisition times, making it difficult to capture fast dynamics without motion blur and raising questions about how to relate a structure reconstructed over minutes to a process that may be occurring on a timescale of seconds.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Bridging the vast resolution gap between light microscopy and electron microscopy to correlate dynamic functional information with ultrastructural context remains a formidable technical challenge.</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aid researchers in navigating this complex methodological landscape, the following table provides a comparative analysis of the key techniques discussed in this review.</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Information Yield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Typical Resolution (Spatial/Temporal)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Strengths for Condensate Research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Major Limitations &amp; Potential Artifacts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Application/Finding Example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3D-SIM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Nanoscale 3D Structure &amp; Morphology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~100 nm xy, ~250 nm z / ~1-10 s per frame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Good for live-cell imaging of overall condensate shape and dynamics. Compatible with standard fluorophores. Relatively low phototoxicity.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Resolution improvement is modest (2x). Prone to reconstruction artifacts with thick or dense samples.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Revealing the diverse, non-spherical morphologies of Pol II clusters in live zebrafish embryos.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High-Resolution Nanoscale 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~30-50 nm xy / seconds to minutes per image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high spatial resolution, tunable via laser power. Can achieve isotropic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 phototoxicity and photobleaching due to high laser power. Limited field of view and slower for large areas.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Investigating the inner structure of transcriptional condensates in </w:t>
            </w:r>
            <w:r w:rsidDel="00000000" w:rsidR="00000000" w:rsidRPr="00000000">
              <w:rPr>
                <w:rFonts w:ascii="Google Sans Text" w:cs="Google Sans Text" w:eastAsia="Google Sans Text" w:hAnsi="Google Sans Text"/>
                <w:i w:val="1"/>
                <w:color w:val="1b1c1d"/>
                <w:sz w:val="20"/>
                <w:szCs w:val="20"/>
                <w:shd w:fill="auto" w:val="clear"/>
                <w:rtl w:val="0"/>
              </w:rPr>
              <w:t xml:space="preserve">C. elegans</w:t>
            </w:r>
            <w:r w:rsidDel="00000000" w:rsidR="00000000" w:rsidRPr="00000000">
              <w:rPr>
                <w:rFonts w:ascii="Google Sans Text" w:cs="Google Sans Text" w:eastAsia="Google Sans Text" w:hAnsi="Google Sans Text"/>
                <w:i w:val="0"/>
                <w:color w:val="1b1c1d"/>
                <w:sz w:val="20"/>
                <w:szCs w:val="20"/>
                <w:shd w:fill="auto" w:val="clear"/>
                <w:rtl w:val="0"/>
              </w:rPr>
              <w:t xml:space="preserve"> embryos.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PALM/STORM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Molecular Stoichiometry &amp; Super-Resolved Maps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~10-20 nm xy / minutes per image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Highest spatial resolution. Enables molecule counting and quantitative cluster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slow acquisition, unsuitable for fast dynamics in live cells (motion blur). Prone to blinking and over-counting artifacts.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Quantifying that most Pol II "factories" are small clusters of only a few polymerase molecules.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FRAP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Ensemble Kinetics &amp; Residence Times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 milliseconds to minutes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Measures average turnover rates and mobility of a molecular population. Can identify kinetically distinct fractions.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Ensemble averaging masks single-molecule heterogeneity. Models can be complex and ambiguous.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Identifying multiple kinetic populations of Pol II at genes and estimating their residence times.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SMT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Single-Molecule Diffusion &amp; Binding Kinetics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 nm xy / milliseconds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Directly measures kinetic heterogeneity, dwell times, and diffusion coefficients. Can reveal rare events masked by ensemble methods.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Limited by photobleaching. Sparse labeling required, preventing observation of molecular interactions.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Discovering that TF dwell times follow a power-law distribution, challenging the simple specific/non-specific binding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CLEM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Correlation of Function and Ultrastructure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&lt;10 nm (EM) / 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Links dynamic information from live-cell fluorescence microscopy with high-resolution ultrastructural context from electron microscopy.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Technically demanding sample preparation and image registration. Risk of artifacts from fixation and processing.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Visualizing chromatin organization within DNA damage domains at the ultrastructural level.</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Optogenetics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Causal Perturbation of Condensate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 seconds to minutes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Provides direct, spatiotemporally precise control over condensate formation or dissolution, enabling tests of causality.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genetic engineering. Potential for off-target effects of light or the optogenetic tool itself.</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Demonstrating causality by dissolving FUS-CHOP condensates with light and observing a reversion of the oncogenic transcriptional program.</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tc>
      </w:tr>
    </w:tbl>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Emerging Technologies for Probing and Perturbing Condensates</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path to resolving the outstanding debates in the field lies in the development and application of new technologies that can overcome the limitations of current methods. Several promising frontiers are emerging.</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Optogenetics</w:t>
      </w:r>
      <w:r w:rsidDel="00000000" w:rsidR="00000000" w:rsidRPr="00000000">
        <w:rPr>
          <w:rFonts w:ascii="Google Sans Text" w:cs="Google Sans Text" w:eastAsia="Google Sans Text" w:hAnsi="Google Sans Text"/>
          <w:i w:val="0"/>
          <w:color w:val="1b1c1d"/>
          <w:sz w:val="24"/>
          <w:szCs w:val="24"/>
          <w:rtl w:val="0"/>
        </w:rPr>
        <w:t xml:space="preserve"> represents a paradigm shift for establishing causality. Rather than relying on blunt perturbations like 1,6-hexanediol or IDR deletions, optogenetic tools allow for the precise, reversible, and spatiotemporally controlled manipulation of condensates. Systems like OptoDroplet use light to induce oligomerization of a protein fused to an IDR, triggering condensate formation on demand.</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Even more powerfully, new tools have been developed to perform the converse function: dissolving condensates. The</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OptoMBP</w:t>
      </w:r>
      <w:r w:rsidDel="00000000" w:rsidR="00000000" w:rsidRPr="00000000">
        <w:rPr>
          <w:rFonts w:ascii="Google Sans Text" w:cs="Google Sans Text" w:eastAsia="Google Sans Text" w:hAnsi="Google Sans Text"/>
          <w:i w:val="0"/>
          <w:color w:val="1b1c1d"/>
          <w:sz w:val="24"/>
          <w:szCs w:val="24"/>
          <w:rtl w:val="0"/>
        </w:rPr>
        <w:t xml:space="preserve"> system, for example, uses light to recruit the highly soluble maltose-binding protein (MBP) to a target condensate, resulting in its rapid and reversible dissolution.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The application of this tool to the FUS-CHOP oncoprotein, where light-induced dissolution of the condensates led to a partial reversion of the cancer-associated gene expression program, provides some of the most compelling evidence to date for a causal link between a condensate's material state and its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Advanced Computational Modeling</w:t>
      </w:r>
      <w:r w:rsidDel="00000000" w:rsidR="00000000" w:rsidRPr="00000000">
        <w:rPr>
          <w:rFonts w:ascii="Google Sans Text" w:cs="Google Sans Text" w:eastAsia="Google Sans Text" w:hAnsi="Google Sans Text"/>
          <w:i w:val="0"/>
          <w:color w:val="1b1c1d"/>
          <w:sz w:val="24"/>
          <w:szCs w:val="24"/>
          <w:rtl w:val="0"/>
        </w:rPr>
        <w:t xml:space="preserve"> is becoming an indispensable partner to experiment. While early models were largely phenomenological, the field is moving towards more predictive, physics-based simulations. Coarse-grained models, such as those based on the hydropathy scale (HPS), can now simulate the phase behavior of specific protein sequences, revealing the molecular driving forces (e.g., the importance of Tyr-Tyr vs. electrostatic interactions) and predicting the effects of PTMs on condensate formation and miscibility.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All-atom molecular dynamics simulations provide even finer detail, while larger-scale theoretical models are beginning to simulate the growth and dissolution kinetics of condensates within the context of an elastic, heterogeneous chromatin network, linking biophysics to gene expression patterns like transcriptional bursting.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Multi-modal and Correlative Approaches</w:t>
      </w:r>
      <w:r w:rsidDel="00000000" w:rsidR="00000000" w:rsidRPr="00000000">
        <w:rPr>
          <w:rFonts w:ascii="Google Sans Text" w:cs="Google Sans Text" w:eastAsia="Google Sans Text" w:hAnsi="Google Sans Text"/>
          <w:i w:val="0"/>
          <w:color w:val="1b1c1d"/>
          <w:sz w:val="24"/>
          <w:szCs w:val="24"/>
          <w:rtl w:val="0"/>
        </w:rPr>
        <w:t xml:space="preserve"> that integrate information across different techniques and scales are crucial. </w:t>
      </w:r>
      <w:r w:rsidDel="00000000" w:rsidR="00000000" w:rsidRPr="00000000">
        <w:rPr>
          <w:rFonts w:ascii="Google Sans Text" w:cs="Google Sans Text" w:eastAsia="Google Sans Text" w:hAnsi="Google Sans Text"/>
          <w:b w:val="1"/>
          <w:i w:val="0"/>
          <w:color w:val="1b1c1d"/>
          <w:sz w:val="24"/>
          <w:szCs w:val="24"/>
          <w:rtl w:val="0"/>
        </w:rPr>
        <w:t xml:space="preserve">Correlative Light and Electron Microscopy (CLEM)</w:t>
      </w:r>
      <w:r w:rsidDel="00000000" w:rsidR="00000000" w:rsidRPr="00000000">
        <w:rPr>
          <w:rFonts w:ascii="Google Sans Text" w:cs="Google Sans Text" w:eastAsia="Google Sans Text" w:hAnsi="Google Sans Text"/>
          <w:i w:val="0"/>
          <w:color w:val="1b1c1d"/>
          <w:sz w:val="24"/>
          <w:szCs w:val="24"/>
          <w:rtl w:val="0"/>
        </w:rPr>
        <w:t xml:space="preserve"> aims to combine the functional dynamics from fluorescence imaging with the unparalleled structural detail of EM, though it remains technically formidable due to challenges in sample preparation, preservation of fluorescence, and image alignment.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Another powerful integrative approach is to combine imaging with high-throughput omics. For example, proximity-labeling techniques like TurboID or APEX2, when targeted to a specific condensate component, can be used to identify the full proteomic and transcriptomic composition of that condensate in a state-dependent manner, providing a complete "parts list" for these complex machines.</w:t>
      </w:r>
      <w:r w:rsidDel="00000000" w:rsidR="00000000" w:rsidRPr="00000000">
        <w:rPr>
          <w:rFonts w:ascii="Google Sans Text" w:cs="Google Sans Text" w:eastAsia="Google Sans Text" w:hAnsi="Google Sans Text"/>
          <w:i w:val="0"/>
          <w:color w:val="575b5f"/>
          <w:sz w:val="24"/>
          <w:szCs w:val="24"/>
          <w:vertAlign w:val="superscript"/>
          <w:rtl w:val="0"/>
        </w:rPr>
        <w:t xml:space="preserve">71</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other innovative techniques are on the horizon. </w:t>
      </w:r>
      <w:r w:rsidDel="00000000" w:rsidR="00000000" w:rsidRPr="00000000">
        <w:rPr>
          <w:rFonts w:ascii="Google Sans Text" w:cs="Google Sans Text" w:eastAsia="Google Sans Text" w:hAnsi="Google Sans Text"/>
          <w:b w:val="1"/>
          <w:i w:val="0"/>
          <w:color w:val="1b1c1d"/>
          <w:sz w:val="24"/>
          <w:szCs w:val="24"/>
          <w:rtl w:val="0"/>
        </w:rPr>
        <w:t xml:space="preserve">In-cell NMR</w:t>
      </w:r>
      <w:r w:rsidDel="00000000" w:rsidR="00000000" w:rsidRPr="00000000">
        <w:rPr>
          <w:rFonts w:ascii="Google Sans Text" w:cs="Google Sans Text" w:eastAsia="Google Sans Text" w:hAnsi="Google Sans Text"/>
          <w:i w:val="0"/>
          <w:color w:val="1b1c1d"/>
          <w:sz w:val="24"/>
          <w:szCs w:val="24"/>
          <w:rtl w:val="0"/>
        </w:rPr>
        <w:t xml:space="preserve"> has the potential to provide atomic-resolution structural and dynamic information about proteins within the native, crowded, and phase-separated environment of a living cell, a feat unattainable by other methods.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The concept of</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4D Cell Biology</w:t>
      </w:r>
      <w:r w:rsidDel="00000000" w:rsidR="00000000" w:rsidRPr="00000000">
        <w:rPr>
          <w:rFonts w:ascii="Google Sans Text" w:cs="Google Sans Text" w:eastAsia="Google Sans Text" w:hAnsi="Google Sans Text"/>
          <w:i w:val="0"/>
          <w:color w:val="1b1c1d"/>
          <w:sz w:val="24"/>
          <w:szCs w:val="24"/>
          <w:rtl w:val="0"/>
        </w:rPr>
        <w:t xml:space="preserve"> aims to extend high-resolution imaging to more physiologically relevant 3D tissue models, such as organoids derived from stem cells. Combining advanced imaging modalities like lattice light-sheet microscopy (which offers high speed and low phototoxicity) with big data analytics will allow the study of transcriptional regulation and condensate dynamics in the context of tissue development and homeostasis.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5.3 Recommendations for Future Research</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RNA Polymerase II condensates is at a critical juncture. The field has moved from initial discovery and characterization to a more nuanced and contentious phase of dissecting mechanism and function. To move forward and resolve the central debates, future research must pivot towards a more integrative, quantitative, and causally-driven approach.</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key priority should be the </w:t>
      </w:r>
      <w:r w:rsidDel="00000000" w:rsidR="00000000" w:rsidRPr="00000000">
        <w:rPr>
          <w:rFonts w:ascii="Google Sans Text" w:cs="Google Sans Text" w:eastAsia="Google Sans Text" w:hAnsi="Google Sans Text"/>
          <w:b w:val="1"/>
          <w:i w:val="0"/>
          <w:color w:val="1b1c1d"/>
          <w:sz w:val="24"/>
          <w:szCs w:val="24"/>
          <w:rtl w:val="0"/>
        </w:rPr>
        <w:t xml:space="preserve">multi-modal integration of perturbation and observation</w:t>
      </w:r>
      <w:r w:rsidDel="00000000" w:rsidR="00000000" w:rsidRPr="00000000">
        <w:rPr>
          <w:rFonts w:ascii="Google Sans Text" w:cs="Google Sans Text" w:eastAsia="Google Sans Text" w:hAnsi="Google Sans Text"/>
          <w:i w:val="0"/>
          <w:color w:val="1b1c1d"/>
          <w:sz w:val="24"/>
          <w:szCs w:val="24"/>
          <w:rtl w:val="0"/>
        </w:rPr>
        <w:t xml:space="preserve">. The most insightful future experiments will likely combine precise, orthogonal perturbations with multi-faceted, high-resolution readouts. For example, one could use an optogenetic tool to specifically dissolve the condensate at a single super-enhancer locus while simultaneously performing SMT to quantify the resulting changes in Pol II and TF residence times, using Hi-C or a related method to measure the impact on promoter-enhancer looping, and using live RNA imaging to monitor the effect on transcriptional bursting. Such experiments, though technically challenging, are necessary to move beyond correlation and build robust, causal models.</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is an urgent need to develop and validate a more sophisticated </w:t>
      </w:r>
      <w:r w:rsidDel="00000000" w:rsidR="00000000" w:rsidRPr="00000000">
        <w:rPr>
          <w:rFonts w:ascii="Google Sans Text" w:cs="Google Sans Text" w:eastAsia="Google Sans Text" w:hAnsi="Google Sans Text"/>
          <w:b w:val="1"/>
          <w:i w:val="0"/>
          <w:color w:val="1b1c1d"/>
          <w:sz w:val="24"/>
          <w:szCs w:val="24"/>
          <w:rtl w:val="0"/>
        </w:rPr>
        <w:t xml:space="preserve">"perturbation toolbox."</w:t>
      </w:r>
      <w:r w:rsidDel="00000000" w:rsidR="00000000" w:rsidRPr="00000000">
        <w:rPr>
          <w:rFonts w:ascii="Google Sans Text" w:cs="Google Sans Text" w:eastAsia="Google Sans Text" w:hAnsi="Google Sans Text"/>
          <w:i w:val="0"/>
          <w:color w:val="1b1c1d"/>
          <w:sz w:val="24"/>
          <w:szCs w:val="24"/>
          <w:rtl w:val="0"/>
        </w:rPr>
        <w:t xml:space="preserve"> The field must move beyond non-specific agents like 1,6-hexanediol and blunt IDR mutations. This will involve the discovery of more specific small-molecule modulators of condensate-driving interactions and the refinement of optogenetic and chemogenetic tools. Future tools should aim not just to control the presence or absence of a condensate, but to specifically modulate its material properties—such as viscosity, surface tension, or component exchange rates—to dissect which physical parameters are functionally important.</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Rigorous, </w:t>
      </w:r>
      <w:r w:rsidDel="00000000" w:rsidR="00000000" w:rsidRPr="00000000">
        <w:rPr>
          <w:rFonts w:ascii="Google Sans Text" w:cs="Google Sans Text" w:eastAsia="Google Sans Text" w:hAnsi="Google Sans Text"/>
          <w:b w:val="1"/>
          <w:i w:val="0"/>
          <w:color w:val="1b1c1d"/>
          <w:sz w:val="24"/>
          <w:szCs w:val="24"/>
          <w:rtl w:val="0"/>
        </w:rPr>
        <w:t xml:space="preserve">predictive computational modeling</w:t>
      </w:r>
      <w:r w:rsidDel="00000000" w:rsidR="00000000" w:rsidRPr="00000000">
        <w:rPr>
          <w:rFonts w:ascii="Google Sans Text" w:cs="Google Sans Text" w:eastAsia="Google Sans Text" w:hAnsi="Google Sans Text"/>
          <w:i w:val="0"/>
          <w:color w:val="1b1c1d"/>
          <w:sz w:val="24"/>
          <w:szCs w:val="24"/>
          <w:rtl w:val="0"/>
        </w:rPr>
        <w:t xml:space="preserve"> must be more tightly integrated with experimental work. Models should be used not just to rationalize existing data but to generate non-obvious, testable hypotheses. A virtuous cycle should be established where experimental data (e.g., from SMT and SRM) are used to parameterize and constrain models, which then make predictions about the system's behavior under new conditions, which are in turn tested experimentally. This is the surest path to understanding how molecular-level interactions give rise to emergent, system-level properties like transcriptional bursting and gene regulation.</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Finally, to understand the role of transcriptional condensates in health and disease, research must increasingly be performed in </w:t>
      </w:r>
      <w:r w:rsidDel="00000000" w:rsidR="00000000" w:rsidRPr="00000000">
        <w:rPr>
          <w:rFonts w:ascii="Google Sans Text" w:cs="Google Sans Text" w:eastAsia="Google Sans Text" w:hAnsi="Google Sans Text"/>
          <w:b w:val="1"/>
          <w:i w:val="0"/>
          <w:color w:val="1b1c1d"/>
          <w:sz w:val="24"/>
          <w:szCs w:val="24"/>
          <w:rtl w:val="0"/>
        </w:rPr>
        <w:t xml:space="preserve">physiologically relevant contexts</w:t>
      </w:r>
      <w:r w:rsidDel="00000000" w:rsidR="00000000" w:rsidRPr="00000000">
        <w:rPr>
          <w:rFonts w:ascii="Google Sans Text" w:cs="Google Sans Text" w:eastAsia="Google Sans Text" w:hAnsi="Google Sans Text"/>
          <w:i w:val="0"/>
          <w:color w:val="1b1c1d"/>
          <w:sz w:val="24"/>
          <w:szCs w:val="24"/>
          <w:rtl w:val="0"/>
        </w:rPr>
        <w:t xml:space="preserve">. While simplified in vitro systems and immortalized cell lines have been invaluable for dissecting basic mechanisms, their relevance to organismal biology must be tested. The increasing use of primary cells, 3D organoid models, and in vivo animal imaging will be essential for understanding how condensate dysregulation contributes to developmental disorders, cancer, and neurodegeneration, and for bridging the translational gap toward the development of novel "condensate-based" therapeutics.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conceptualization of transcriptional hubs as biomolecular condensates formed via liquid-liquid phase separation has provided a powerful new framework for understanding gene regulation. This paradigm, rooted in the principles of polymer physics and driven by the multivalent interactions of intrinsically disordered protein regions, offers elegant explanations for the concentration of transcriptional machinery, the dynamic nature of regulatory complexes, and the coordination of the transcription cycle. The C-terminal domain of RNA Polymerase II has emerged as a central player, an evolved information-processing device whose phosphorylation-dependent phase behavior orchestrates the progression from initiation to elongation and RNA processing.</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Super-resolution microscopy has been instrumental in shaping this view, revealing a rich and heterogeneous world of Pol II clusters with complex, non-spherical morphologies and intricate internal organization. These structural data have challenged simple models of bulk LLPS, leading to more nuanced concepts like surface condensation on chromatin templates. Live-cell imaging has complemented these structural snapshots with dynamic functional data, demonstrating that the kinetic behavior of molecules within these assemblies is directly and quantitatively linked to transcriptional output. The discovery that TF binding kinetics follow a power-law distribution and that condensate lifetime acts as a rheostat for transcriptional bursting are landmark findings that connect the biophysical properties of these assemblies to their biological function.</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the field is defined as much by its vibrant debates as by its consensus. Establishing a definitive causal link between LLPS and transcriptional control remains a major challenge, plagued by the limitations and potential artifacts of common experimental perturbations. An emerging synthesis suggests that the formation of soluble, higher-order complexes and macroscopic phase separation may be two points on a continuum of multivalent-driven assembly, with the functional consequences of crossing the phase boundary being highly dependent on the specific biological context.</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path forward requires a new level of methodological rigor and integration. The development of precise perturbation tools like optogenetics, coupled with multi-modal imaging and omics approaches and guided by predictive computational modeling, will be essential to dissect causality. Ultimately, by studying these phenomena in increasingly complex and physiologically relevant systems, from single cells to 3D organoids and whole organisms, the field is poised to not only resolve its central questions about the fundamental mechanisms of gene regulation but also to unlock new avenues for therapeutic intervention in a wide range of human diseases.</w:t>
      </w:r>
    </w:p>
    <w:p w:rsidR="00000000" w:rsidDel="00000000" w:rsidP="00000000" w:rsidRDefault="00000000" w:rsidRPr="00000000" w14:paraId="000000D6">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Transcriptional condensates and phase separation: condensing information across scales and mechanisms, accessed June 24, 2025, </w:t>
      </w:r>
      <w:hyperlink r:id="rId6">
        <w:r w:rsidDel="00000000" w:rsidR="00000000" w:rsidRPr="00000000">
          <w:rPr>
            <w:rFonts w:ascii="Google Sans" w:cs="Google Sans" w:eastAsia="Google Sans" w:hAnsi="Google Sans"/>
            <w:color w:val="0000ee"/>
            <w:sz w:val="24"/>
            <w:szCs w:val="24"/>
            <w:u w:val="single"/>
            <w:rtl w:val="0"/>
          </w:rPr>
          <w:t xml:space="preserve">https://www.tandfonline.com/doi/full/10.1080/19491034.2023.2213551</w:t>
        </w:r>
      </w:hyperlink>
      <w:r w:rsidDel="00000000" w:rsidR="00000000" w:rsidRPr="00000000">
        <w:rPr>
          <w:rtl w:val="0"/>
        </w:rPr>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 RNA Polymerase II transcription sites in living cells - PMC, accessed June 24, 2025, </w:t>
      </w:r>
      <w:hyperlink r:id="rId7">
        <w:r w:rsidDel="00000000" w:rsidR="00000000" w:rsidRPr="00000000">
          <w:rPr>
            <w:rFonts w:ascii="Google Sans" w:cs="Google Sans" w:eastAsia="Google Sans" w:hAnsi="Google Sans"/>
            <w:color w:val="0000ee"/>
            <w:sz w:val="24"/>
            <w:szCs w:val="24"/>
            <w:u w:val="single"/>
            <w:rtl w:val="0"/>
          </w:rPr>
          <w:t xml:space="preserve">https://pmc.ncbi.nlm.nih.gov/articles/PMC5497218/</w:t>
        </w:r>
      </w:hyperlink>
      <w:r w:rsidDel="00000000" w:rsidR="00000000" w:rsidRPr="00000000">
        <w:rPr>
          <w:rtl w:val="0"/>
        </w:rPr>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factories - Frontiers, accessed June 24, 2025, </w:t>
      </w:r>
      <w:hyperlink r:id="rId8">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https://www.frontiersin.org/journals/genetics/articles/10.3389/fgene.2012.00221/pdf</w:t>
        </w:r>
      </w:hyperlink>
      <w:r w:rsidDel="00000000" w:rsidR="00000000" w:rsidRPr="00000000">
        <w:rPr>
          <w:rtl w:val="0"/>
        </w:rPr>
      </w:r>
    </w:p>
    <w:p w:rsidR="00000000" w:rsidDel="00000000" w:rsidP="00000000" w:rsidRDefault="00000000" w:rsidRPr="00000000" w14:paraId="000000D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in transcription factor dynamics and chromatin organization - PMC, accessed June 24,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https://pmc.ncbi.nlm.nih.gov/articles/PMC8794578/</w:t>
        </w:r>
      </w:hyperlink>
      <w:r w:rsidDel="00000000" w:rsidR="00000000" w:rsidRPr="00000000">
        <w:rPr>
          <w:rtl w:val="0"/>
        </w:rPr>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in transcription factor dynamics and chromatin organization - PubMed, accessed June 24, 2025, </w:t>
      </w:r>
      <w:hyperlink r:id="rId10">
        <w:r w:rsidDel="00000000" w:rsidR="00000000" w:rsidRPr="00000000">
          <w:rPr>
            <w:rFonts w:ascii="Google Sans" w:cs="Google Sans" w:eastAsia="Google Sans" w:hAnsi="Google Sans"/>
            <w:color w:val="0000ee"/>
            <w:sz w:val="24"/>
            <w:szCs w:val="24"/>
            <w:u w:val="single"/>
            <w:rtl w:val="0"/>
          </w:rPr>
          <w:t xml:space="preserve">https://pubmed.ncbi.nlm.nih.gov/34303933/</w:t>
        </w:r>
      </w:hyperlink>
      <w:r w:rsidDel="00000000" w:rsidR="00000000" w:rsidRPr="00000000">
        <w:rPr>
          <w:rtl w:val="0"/>
        </w:rPr>
      </w:r>
    </w:p>
    <w:p w:rsidR="00000000" w:rsidDel="00000000" w:rsidP="00000000" w:rsidRDefault="00000000" w:rsidRPr="00000000" w14:paraId="000000D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Heterogenous organization in condensates of multiple transcription factors in embryonic stem cells - bioRxiv, accessed June 24, 2025, </w:t>
      </w:r>
      <w:hyperlink r:id="rId11">
        <w:r w:rsidDel="00000000" w:rsidR="00000000" w:rsidRPr="00000000">
          <w:rPr>
            <w:rFonts w:ascii="Google Sans" w:cs="Google Sans" w:eastAsia="Google Sans" w:hAnsi="Google Sans"/>
            <w:color w:val="0000ee"/>
            <w:sz w:val="24"/>
            <w:szCs w:val="24"/>
            <w:u w:val="single"/>
            <w:rtl w:val="0"/>
          </w:rPr>
          <w:t xml:space="preserve">https://www.biorxiv.org/content/10.1101/2024.06.14.599027v2.full.pdf</w:t>
        </w:r>
      </w:hyperlink>
      <w:r w:rsidDel="00000000" w:rsidR="00000000" w:rsidRPr="00000000">
        <w:rPr>
          <w:rtl w:val="0"/>
        </w:rPr>
      </w:r>
    </w:p>
    <w:p w:rsidR="00000000" w:rsidDel="00000000" w:rsidP="00000000" w:rsidRDefault="00000000" w:rsidRPr="00000000" w14:paraId="000000D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Biomolecular condensates: organizers of cellular biochemistry - Hyman Lab, accessed June 24, 2025, </w:t>
      </w:r>
      <w:hyperlink r:id="rId12">
        <w:r w:rsidDel="00000000" w:rsidR="00000000" w:rsidRPr="00000000">
          <w:rPr>
            <w:rFonts w:ascii="Google Sans" w:cs="Google Sans" w:eastAsia="Google Sans" w:hAnsi="Google Sans"/>
            <w:color w:val="0000ee"/>
            <w:sz w:val="24"/>
            <w:szCs w:val="24"/>
            <w:u w:val="single"/>
            <w:rtl w:val="0"/>
          </w:rPr>
          <w:t xml:space="preserve">https://hymanlab.org/uploads/publications/2017-Bananietal-NatureReviews.pdf</w:t>
        </w:r>
      </w:hyperlink>
      <w:r w:rsidDel="00000000" w:rsidR="00000000" w:rsidRPr="00000000">
        <w:rPr>
          <w:rtl w:val="0"/>
        </w:rPr>
      </w:r>
    </w:p>
    <w:p w:rsidR="00000000" w:rsidDel="00000000" w:rsidP="00000000" w:rsidRDefault="00000000" w:rsidRPr="00000000" w14:paraId="000000D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Merging established mechanisms with new insights: Condensates, hubs, and the regulation of RNA polymerase II transcription - PubMed Central, accessed June 24,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https://pmc.ncbi.nlm.nih.gov/articles/PMC8748285/</w:t>
        </w:r>
      </w:hyperlink>
      <w:r w:rsidDel="00000000" w:rsidR="00000000" w:rsidRPr="00000000">
        <w:rPr>
          <w:rtl w:val="0"/>
        </w:rPr>
      </w:r>
    </w:p>
    <w:p w:rsidR="00000000" w:rsidDel="00000000" w:rsidP="00000000" w:rsidRDefault="00000000" w:rsidRPr="00000000" w14:paraId="000000D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Promoter and Gene-Body RNA-Polymerase II co-exist in partial ..., accessed June 24, 2025, </w:t>
      </w:r>
      <w:hyperlink r:id="rId14">
        <w:r w:rsidDel="00000000" w:rsidR="00000000" w:rsidRPr="00000000">
          <w:rPr>
            <w:rFonts w:ascii="Google Sans" w:cs="Google Sans" w:eastAsia="Google Sans" w:hAnsi="Google Sans"/>
            <w:color w:val="0000ee"/>
            <w:sz w:val="24"/>
            <w:szCs w:val="24"/>
            <w:u w:val="single"/>
            <w:rtl w:val="0"/>
          </w:rPr>
          <w:t xml:space="preserve">https://www.biorxiv.org/content/10.1101/2024.03.16.585180v3.full-text</w:t>
        </w:r>
      </w:hyperlink>
      <w:r w:rsidDel="00000000" w:rsidR="00000000" w:rsidRPr="00000000">
        <w:rPr>
          <w:rtl w:val="0"/>
        </w:rPr>
      </w:r>
    </w:p>
    <w:p w:rsidR="00000000" w:rsidDel="00000000" w:rsidP="00000000" w:rsidRDefault="00000000" w:rsidRPr="00000000" w14:paraId="000000E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factor condensates, 3D clustering, and gene expression enhancement of the MET regulon | eLife, accessed June 24, 2025, </w:t>
      </w:r>
      <w:hyperlink r:id="rId15">
        <w:r w:rsidDel="00000000" w:rsidR="00000000" w:rsidRPr="00000000">
          <w:rPr>
            <w:rFonts w:ascii="Google Sans" w:cs="Google Sans" w:eastAsia="Google Sans" w:hAnsi="Google Sans"/>
            <w:color w:val="0000ee"/>
            <w:sz w:val="24"/>
            <w:szCs w:val="24"/>
            <w:u w:val="single"/>
            <w:rtl w:val="0"/>
          </w:rPr>
          <w:t xml:space="preserve">https://elifesciences.org/articles/96028</w:t>
        </w:r>
      </w:hyperlink>
      <w:r w:rsidDel="00000000" w:rsidR="00000000" w:rsidRPr="00000000">
        <w:rPr>
          <w:rtl w:val="0"/>
        </w:rPr>
      </w:r>
    </w:p>
    <w:p w:rsidR="00000000" w:rsidDel="00000000" w:rsidP="00000000" w:rsidRDefault="00000000" w:rsidRPr="00000000" w14:paraId="000000E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Biomolecular Condensates in the Nucleus - PMC, accessed June 24, 2025, </w:t>
      </w:r>
      <w:hyperlink r:id="rId16">
        <w:r w:rsidDel="00000000" w:rsidR="00000000" w:rsidRPr="00000000">
          <w:rPr>
            <w:rFonts w:ascii="Google Sans" w:cs="Google Sans" w:eastAsia="Google Sans" w:hAnsi="Google Sans"/>
            <w:color w:val="0000ee"/>
            <w:sz w:val="24"/>
            <w:szCs w:val="24"/>
            <w:u w:val="single"/>
            <w:rtl w:val="0"/>
          </w:rPr>
          <w:t xml:space="preserve">https://pmc.ncbi.nlm.nih.gov/articles/PMC7572565/</w:t>
        </w:r>
      </w:hyperlink>
      <w:r w:rsidDel="00000000" w:rsidR="00000000" w:rsidRPr="00000000">
        <w:rPr>
          <w:rtl w:val="0"/>
        </w:rPr>
      </w:r>
    </w:p>
    <w:p w:rsidR="00000000" w:rsidDel="00000000" w:rsidP="00000000" w:rsidRDefault="00000000" w:rsidRPr="00000000" w14:paraId="000000E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Evidence for and against Liquid-Liquid Phase Separation in the ..., accessed June 24, 2025, </w:t>
      </w:r>
      <w:hyperlink r:id="rId17">
        <w:r w:rsidDel="00000000" w:rsidR="00000000" w:rsidRPr="00000000">
          <w:rPr>
            <w:rFonts w:ascii="Google Sans" w:cs="Google Sans" w:eastAsia="Google Sans" w:hAnsi="Google Sans"/>
            <w:color w:val="0000ee"/>
            <w:sz w:val="24"/>
            <w:szCs w:val="24"/>
            <w:u w:val="single"/>
            <w:rtl w:val="0"/>
          </w:rPr>
          <w:t xml:space="preserve">https://pmc.ncbi.nlm.nih.gov/articles/PMC6958436/</w:t>
        </w:r>
      </w:hyperlink>
      <w:r w:rsidDel="00000000" w:rsidR="00000000" w:rsidRPr="00000000">
        <w:rPr>
          <w:rtl w:val="0"/>
        </w:rPr>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Dysregulation of transcriptional condensates in human disease ..., accessed June 24,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https://pmc.ncbi.nlm.nih.gov/articles/PMC11162900/</w:t>
        </w:r>
      </w:hyperlink>
      <w:r w:rsidDel="00000000" w:rsidR="00000000" w:rsidRPr="00000000">
        <w:rPr>
          <w:rtl w:val="0"/>
        </w:rPr>
      </w:r>
    </w:p>
    <w:p w:rsidR="00000000" w:rsidDel="00000000" w:rsidP="00000000" w:rsidRDefault="00000000" w:rsidRPr="00000000" w14:paraId="000000E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Transcriptional condensates: a blessing or a curse for gene regulation? - PubMed Central, accessed June 24, 2025, </w:t>
      </w:r>
      <w:hyperlink r:id="rId19">
        <w:r w:rsidDel="00000000" w:rsidR="00000000" w:rsidRPr="00000000">
          <w:rPr>
            <w:rFonts w:ascii="Google Sans" w:cs="Google Sans" w:eastAsia="Google Sans" w:hAnsi="Google Sans"/>
            <w:color w:val="0000ee"/>
            <w:sz w:val="24"/>
            <w:szCs w:val="24"/>
            <w:u w:val="single"/>
            <w:rtl w:val="0"/>
          </w:rPr>
          <w:t xml:space="preserve">https://pmc.ncbi.nlm.nih.gov/articles/PMC10873363/</w:t>
        </w:r>
      </w:hyperlink>
      <w:r w:rsidDel="00000000" w:rsidR="00000000" w:rsidRPr="00000000">
        <w:rPr>
          <w:rtl w:val="0"/>
        </w:rPr>
      </w:r>
    </w:p>
    <w:p w:rsidR="00000000" w:rsidDel="00000000" w:rsidP="00000000" w:rsidRDefault="00000000" w:rsidRPr="00000000" w14:paraId="000000E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protein condensates and their properties in regulation of ..., accessed June 24,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https://pmc.ncbi.nlm.nih.gov/articles/PMC9012237/</w:t>
        </w:r>
      </w:hyperlink>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Genomic clustering tendency of transcription factors reflects phase-separated transcriptional condensates at super-enhancers | Nucleic Acids Research | Oxford Academic, accessed June 24, 2025, </w:t>
      </w:r>
      <w:hyperlink r:id="rId21">
        <w:r w:rsidDel="00000000" w:rsidR="00000000" w:rsidRPr="00000000">
          <w:rPr>
            <w:rFonts w:ascii="Google Sans" w:cs="Google Sans" w:eastAsia="Google Sans" w:hAnsi="Google Sans"/>
            <w:color w:val="0000ee"/>
            <w:sz w:val="24"/>
            <w:szCs w:val="24"/>
            <w:u w:val="single"/>
            <w:rtl w:val="0"/>
          </w:rPr>
          <w:t xml:space="preserve">https://academic.oup.com/nar/article/53/3/gkaf015/7979041</w:t>
        </w:r>
      </w:hyperlink>
      <w:r w:rsidDel="00000000" w:rsidR="00000000" w:rsidRPr="00000000">
        <w:rPr>
          <w:rtl w:val="0"/>
        </w:rPr>
      </w:r>
    </w:p>
    <w:p w:rsidR="00000000" w:rsidDel="00000000" w:rsidP="00000000" w:rsidRDefault="00000000" w:rsidRPr="00000000" w14:paraId="000000E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RNAPII activity by Transcription Factors, IDRs, condensates | Taatjes Lab, accessed June 24, 2025, </w:t>
      </w:r>
      <w:hyperlink r:id="rId22">
        <w:r w:rsidDel="00000000" w:rsidR="00000000" w:rsidRPr="00000000">
          <w:rPr>
            <w:rFonts w:ascii="Google Sans" w:cs="Google Sans" w:eastAsia="Google Sans" w:hAnsi="Google Sans"/>
            <w:color w:val="0000ee"/>
            <w:sz w:val="24"/>
            <w:szCs w:val="24"/>
            <w:u w:val="single"/>
            <w:rtl w:val="0"/>
          </w:rPr>
          <w:t xml:space="preserve">https://www.colorado.edu/lab/taatjes/transcription-factors-and-pic-function</w:t>
        </w:r>
      </w:hyperlink>
      <w:r w:rsidDel="00000000" w:rsidR="00000000" w:rsidRPr="00000000">
        <w:rPr>
          <w:rtl w:val="0"/>
        </w:rPr>
      </w:r>
    </w:p>
    <w:p w:rsidR="00000000" w:rsidDel="00000000" w:rsidP="00000000" w:rsidRDefault="00000000" w:rsidRPr="00000000" w14:paraId="000000E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molecular basis for cellular function of intrinsically disordered regions - Washington University, accessed June 24, 2025, </w:t>
      </w:r>
      <w:hyperlink r:id="rId23">
        <w:r w:rsidDel="00000000" w:rsidR="00000000" w:rsidRPr="00000000">
          <w:rPr>
            <w:rFonts w:ascii="Google Sans" w:cs="Google Sans" w:eastAsia="Google Sans" w:hAnsi="Google Sans"/>
            <w:color w:val="0000ee"/>
            <w:sz w:val="24"/>
            <w:szCs w:val="24"/>
            <w:u w:val="single"/>
            <w:rtl w:val="0"/>
          </w:rPr>
          <w:t xml:space="preserve">https://dasher.wustl.edu/bio5357/readings/holehouse-kragelund-23.pdf</w:t>
        </w:r>
      </w:hyperlink>
      <w:r w:rsidDel="00000000" w:rsidR="00000000" w:rsidRPr="00000000">
        <w:rPr>
          <w:rtl w:val="0"/>
        </w:rPr>
      </w:r>
    </w:p>
    <w:p w:rsidR="00000000" w:rsidDel="00000000" w:rsidP="00000000" w:rsidRDefault="00000000" w:rsidRPr="00000000" w14:paraId="000000E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Clustering of RNA Polymerase II C-Terminal Domain Models upon Phosphorylation, accessed June 24, 2025, </w:t>
      </w:r>
      <w:hyperlink r:id="rId24">
        <w:r w:rsidDel="00000000" w:rsidR="00000000" w:rsidRPr="00000000">
          <w:rPr>
            <w:rFonts w:ascii="Google Sans" w:cs="Google Sans" w:eastAsia="Google Sans" w:hAnsi="Google Sans"/>
            <w:color w:val="0000ee"/>
            <w:sz w:val="24"/>
            <w:szCs w:val="24"/>
            <w:u w:val="single"/>
            <w:rtl w:val="0"/>
          </w:rPr>
          <w:t xml:space="preserve">https://pubs.acs.org/doi/10.1021/acs.jpcb.4c04457</w:t>
        </w:r>
      </w:hyperlink>
      <w:r w:rsidDel="00000000" w:rsidR="00000000" w:rsidRPr="00000000">
        <w:rPr>
          <w:rtl w:val="0"/>
        </w:rPr>
      </w:r>
    </w:p>
    <w:p w:rsidR="00000000" w:rsidDel="00000000" w:rsidP="00000000" w:rsidRDefault="00000000" w:rsidRPr="00000000" w14:paraId="000000E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partitioning is a shared feature of diverse oncofusion condensates | Request PDF - ResearchGate, accessed June 24, 2025, </w:t>
      </w:r>
      <w:hyperlink r:id="rId25">
        <w:r w:rsidDel="00000000" w:rsidR="00000000" w:rsidRPr="00000000">
          <w:rPr>
            <w:rFonts w:ascii="Google Sans" w:cs="Google Sans" w:eastAsia="Google Sans" w:hAnsi="Google Sans"/>
            <w:color w:val="0000ee"/>
            <w:sz w:val="24"/>
            <w:szCs w:val="24"/>
            <w:u w:val="single"/>
            <w:rtl w:val="0"/>
          </w:rPr>
          <w:t xml:space="preserve">https://www.researchgate.net/publication/391175805_RNA_polymerase_II_partitioning_is_a_shared_feature_of_diverse_oncofusion_condensates</w:t>
        </w:r>
      </w:hyperlink>
      <w:r w:rsidDel="00000000" w:rsidR="00000000" w:rsidRPr="00000000">
        <w:rPr>
          <w:rtl w:val="0"/>
        </w:rPr>
      </w:r>
    </w:p>
    <w:p w:rsidR="00000000" w:rsidDel="00000000" w:rsidP="00000000" w:rsidRDefault="00000000" w:rsidRPr="00000000" w14:paraId="000000E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RNA Polymerase II Carboxy-Terminal Domain (CTD) Code | Chemical Reviews, accessed June 24, 2025, </w:t>
      </w:r>
      <w:hyperlink r:id="rId26">
        <w:r w:rsidDel="00000000" w:rsidR="00000000" w:rsidRPr="00000000">
          <w:rPr>
            <w:rFonts w:ascii="Google Sans" w:cs="Google Sans" w:eastAsia="Google Sans" w:hAnsi="Google Sans"/>
            <w:color w:val="0000ee"/>
            <w:sz w:val="24"/>
            <w:szCs w:val="24"/>
            <w:u w:val="single"/>
            <w:rtl w:val="0"/>
          </w:rPr>
          <w:t xml:space="preserve">https://pubs.acs.org/doi/10.1021/cr400071f</w:t>
        </w:r>
      </w:hyperlink>
      <w:r w:rsidDel="00000000" w:rsidR="00000000" w:rsidRPr="00000000">
        <w:rPr>
          <w:rtl w:val="0"/>
        </w:rPr>
      </w:r>
    </w:p>
    <w:p w:rsidR="00000000" w:rsidDel="00000000" w:rsidP="00000000" w:rsidRDefault="00000000" w:rsidRPr="00000000" w14:paraId="000000E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Functions of the RNA Polymerase II General Transcription Machinery during the Transcription Cycle - PubMed Central, accessed June 24, 2025, </w:t>
      </w:r>
      <w:hyperlink r:id="rId27">
        <w:r w:rsidDel="00000000" w:rsidR="00000000" w:rsidRPr="00000000">
          <w:rPr>
            <w:rFonts w:ascii="Google Sans" w:cs="Google Sans" w:eastAsia="Google Sans" w:hAnsi="Google Sans"/>
            <w:color w:val="0000ee"/>
            <w:sz w:val="24"/>
            <w:szCs w:val="24"/>
            <w:u w:val="single"/>
            <w:rtl w:val="0"/>
          </w:rPr>
          <w:t xml:space="preserve">https://pmc.ncbi.nlm.nih.gov/articles/PMC10886972/</w:t>
        </w:r>
      </w:hyperlink>
      <w:r w:rsidDel="00000000" w:rsidR="00000000" w:rsidRPr="00000000">
        <w:rPr>
          <w:rtl w:val="0"/>
        </w:rPr>
      </w:r>
    </w:p>
    <w:p w:rsidR="00000000" w:rsidDel="00000000" w:rsidP="00000000" w:rsidRDefault="00000000" w:rsidRPr="00000000" w14:paraId="000000E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clusters form in line with surface condensation ..., accessed June 24, 2025, </w:t>
      </w:r>
      <w:hyperlink r:id="rId28">
        <w:r w:rsidDel="00000000" w:rsidR="00000000" w:rsidRPr="00000000">
          <w:rPr>
            <w:rFonts w:ascii="Google Sans" w:cs="Google Sans" w:eastAsia="Google Sans" w:hAnsi="Google Sans"/>
            <w:color w:val="0000ee"/>
            <w:sz w:val="24"/>
            <w:szCs w:val="24"/>
            <w:u w:val="single"/>
            <w:rtl w:val="0"/>
          </w:rPr>
          <w:t xml:space="preserve">https://www.embopress.org/doi/10.15252/msb.202110272</w:t>
        </w:r>
      </w:hyperlink>
      <w:r w:rsidDel="00000000" w:rsidR="00000000" w:rsidRPr="00000000">
        <w:rPr>
          <w:rtl w:val="0"/>
        </w:rPr>
      </w:r>
    </w:p>
    <w:p w:rsidR="00000000" w:rsidDel="00000000" w:rsidP="00000000" w:rsidRDefault="00000000" w:rsidRPr="00000000" w14:paraId="000000E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Functions of the RNA Polymerase II General Transcription Machinery during the Transcription Cycle - MDPI, accessed June 24, 2025, </w:t>
      </w:r>
      <w:hyperlink r:id="rId29">
        <w:r w:rsidDel="00000000" w:rsidR="00000000" w:rsidRPr="00000000">
          <w:rPr>
            <w:rFonts w:ascii="Google Sans" w:cs="Google Sans" w:eastAsia="Google Sans" w:hAnsi="Google Sans"/>
            <w:color w:val="0000ee"/>
            <w:sz w:val="24"/>
            <w:szCs w:val="24"/>
            <w:u w:val="single"/>
            <w:rtl w:val="0"/>
          </w:rPr>
          <w:t xml:space="preserve">https://www.mdpi.com/2218-273X/14/2/176</w:t>
        </w:r>
      </w:hyperlink>
      <w:r w:rsidDel="00000000" w:rsidR="00000000" w:rsidRPr="00000000">
        <w:rPr>
          <w:rtl w:val="0"/>
        </w:rPr>
      </w:r>
    </w:p>
    <w:p w:rsidR="00000000" w:rsidDel="00000000" w:rsidP="00000000" w:rsidRDefault="00000000" w:rsidRPr="00000000" w14:paraId="000000E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oncogenic transcription factor FUS-CHOP can undergo nuclear liquid-liquid phase separation - Company of Biologists journals, accessed June 24, 2025, </w:t>
      </w:r>
      <w:hyperlink r:id="rId30">
        <w:r w:rsidDel="00000000" w:rsidR="00000000" w:rsidRPr="00000000">
          <w:rPr>
            <w:rFonts w:ascii="Google Sans" w:cs="Google Sans" w:eastAsia="Google Sans" w:hAnsi="Google Sans"/>
            <w:color w:val="0000ee"/>
            <w:sz w:val="24"/>
            <w:szCs w:val="24"/>
            <w:u w:val="single"/>
            <w:rtl w:val="0"/>
          </w:rPr>
          <w:t xml:space="preserve">https://journals.biologists.com/jcs/article-pdf/134/17/jcs258578/3488639/jcs258578_review_history.pdf</w:t>
        </w:r>
      </w:hyperlink>
      <w:r w:rsidDel="00000000" w:rsidR="00000000" w:rsidRPr="00000000">
        <w:rPr>
          <w:rtl w:val="0"/>
        </w:rPr>
      </w:r>
    </w:p>
    <w:p w:rsidR="00000000" w:rsidDel="00000000" w:rsidP="00000000" w:rsidRDefault="00000000" w:rsidRPr="00000000" w14:paraId="000000F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Super resolution microscopy reveals how elongating RNA ..., accessed June 24, 2025, </w:t>
      </w:r>
      <w:hyperlink r:id="rId31">
        <w:r w:rsidDel="00000000" w:rsidR="00000000" w:rsidRPr="00000000">
          <w:rPr>
            <w:rFonts w:ascii="Google Sans" w:cs="Google Sans" w:eastAsia="Google Sans" w:hAnsi="Google Sans"/>
            <w:color w:val="0000ee"/>
            <w:sz w:val="24"/>
            <w:szCs w:val="24"/>
            <w:u w:val="single"/>
            <w:rtl w:val="0"/>
          </w:rPr>
          <w:t xml:space="preserve">https://www.researchgate.net/publication/357225869_Super_resolution_microscopy_reveals_how_elongating_RNA_polymerase_II_and_nascent_RNA_interact_with_nucleosome_clutches</w:t>
        </w:r>
      </w:hyperlink>
      <w:r w:rsidDel="00000000" w:rsidR="00000000" w:rsidRPr="00000000">
        <w:rPr>
          <w:rtl w:val="0"/>
        </w:rPr>
      </w:r>
    </w:p>
    <w:p w:rsidR="00000000" w:rsidDel="00000000" w:rsidP="00000000" w:rsidRDefault="00000000" w:rsidRPr="00000000" w14:paraId="000000F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Dynamics Regulate Transcriptional Condensate Vivacity to Drive Gene Coordination, accessed June 24, 2025, </w:t>
      </w:r>
      <w:hyperlink r:id="rId32">
        <w:r w:rsidDel="00000000" w:rsidR="00000000" w:rsidRPr="00000000">
          <w:rPr>
            <w:rFonts w:ascii="Google Sans" w:cs="Google Sans" w:eastAsia="Google Sans" w:hAnsi="Google Sans"/>
            <w:color w:val="0000ee"/>
            <w:sz w:val="24"/>
            <w:szCs w:val="24"/>
            <w:u w:val="single"/>
            <w:rtl w:val="0"/>
          </w:rPr>
          <w:t xml:space="preserve">https://www.biorxiv.org/content/10.1101/2025.06.06.658161v1.full-text</w:t>
        </w:r>
      </w:hyperlink>
      <w:r w:rsidDel="00000000" w:rsidR="00000000" w:rsidRPr="00000000">
        <w:rPr>
          <w:rtl w:val="0"/>
        </w:rPr>
      </w:r>
    </w:p>
    <w:p w:rsidR="00000000" w:rsidDel="00000000" w:rsidP="00000000" w:rsidRDefault="00000000" w:rsidRPr="00000000" w14:paraId="000000F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RNA-mediated feedback control of transcriptional condensates - DSpace@MIT, accessed June 24, 2025, </w:t>
      </w:r>
      <w:hyperlink r:id="rId33">
        <w:r w:rsidDel="00000000" w:rsidR="00000000" w:rsidRPr="00000000">
          <w:rPr>
            <w:rFonts w:ascii="Google Sans" w:cs="Google Sans" w:eastAsia="Google Sans" w:hAnsi="Google Sans"/>
            <w:color w:val="0000ee"/>
            <w:sz w:val="24"/>
            <w:szCs w:val="24"/>
            <w:u w:val="single"/>
            <w:rtl w:val="0"/>
          </w:rPr>
          <w:t xml:space="preserve">https://dspace.mit.edu/bitstream/handle/1721.1/139662/nihms-1649382.pdf?sequence=2</w:t>
        </w:r>
      </w:hyperlink>
      <w:r w:rsidDel="00000000" w:rsidR="00000000" w:rsidRPr="00000000">
        <w:rPr>
          <w:rtl w:val="0"/>
        </w:rPr>
      </w:r>
    </w:p>
    <w:p w:rsidR="00000000" w:rsidDel="00000000" w:rsidP="00000000" w:rsidRDefault="00000000" w:rsidRPr="00000000" w14:paraId="000000F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cluster dynamics predict mRNA output in living ..., accessed June 24, 2025, </w:t>
      </w:r>
      <w:hyperlink r:id="rId34">
        <w:r w:rsidDel="00000000" w:rsidR="00000000" w:rsidRPr="00000000">
          <w:rPr>
            <w:rFonts w:ascii="Google Sans" w:cs="Google Sans" w:eastAsia="Google Sans" w:hAnsi="Google Sans"/>
            <w:color w:val="0000ee"/>
            <w:sz w:val="24"/>
            <w:szCs w:val="24"/>
            <w:u w:val="single"/>
            <w:rtl w:val="0"/>
          </w:rPr>
          <w:t xml:space="preserve">https://pmc.ncbi.nlm.nih.gov/articles/PMC4929003/</w:t>
        </w:r>
      </w:hyperlink>
      <w:r w:rsidDel="00000000" w:rsidR="00000000" w:rsidRPr="00000000">
        <w:rPr>
          <w:rtl w:val="0"/>
        </w:rPr>
      </w:r>
    </w:p>
    <w:p w:rsidR="00000000" w:rsidDel="00000000" w:rsidP="00000000" w:rsidRDefault="00000000" w:rsidRPr="00000000" w14:paraId="000000F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Emerging insights into transcriptional condensates - ResearchGate, accessed June 24,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https://www.researchgate.net/publication/380098561_Emerging_insights_into_transcriptional_condensates</w:t>
        </w:r>
      </w:hyperlink>
      <w:r w:rsidDel="00000000" w:rsidR="00000000" w:rsidRPr="00000000">
        <w:rPr>
          <w:rtl w:val="0"/>
        </w:rPr>
      </w:r>
    </w:p>
    <w:p w:rsidR="00000000" w:rsidDel="00000000" w:rsidP="00000000" w:rsidRDefault="00000000" w:rsidRPr="00000000" w14:paraId="000000F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clusters form in line with surface condensation on regulatory chromatin, accessed June 24, 2025,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https://pmc.ncbi.nlm.nih.gov/articles/PMC8474054/</w:t>
        </w:r>
      </w:hyperlink>
      <w:r w:rsidDel="00000000" w:rsidR="00000000" w:rsidRPr="00000000">
        <w:rPr>
          <w:rtl w:val="0"/>
        </w:rPr>
      </w:r>
    </w:p>
    <w:p w:rsidR="00000000" w:rsidDel="00000000" w:rsidP="00000000" w:rsidRDefault="00000000" w:rsidRPr="00000000" w14:paraId="000000F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clusters form in line with liquid phase wetting of chromatin | bioRxiv, accessed June 24, 2025, </w:t>
      </w:r>
      <w:hyperlink r:id="rId37">
        <w:r w:rsidDel="00000000" w:rsidR="00000000" w:rsidRPr="00000000">
          <w:rPr>
            <w:rFonts w:ascii="Google Sans" w:cs="Google Sans" w:eastAsia="Google Sans" w:hAnsi="Google Sans"/>
            <w:color w:val="0000ee"/>
            <w:sz w:val="24"/>
            <w:szCs w:val="24"/>
            <w:u w:val="single"/>
            <w:rtl w:val="0"/>
          </w:rPr>
          <w:t xml:space="preserve">https://www.biorxiv.org/content/10.1101/2021.02.03.429626.full</w:t>
        </w:r>
      </w:hyperlink>
      <w:r w:rsidDel="00000000" w:rsidR="00000000" w:rsidRPr="00000000">
        <w:rPr>
          <w:rtl w:val="0"/>
        </w:rPr>
      </w:r>
    </w:p>
    <w:p w:rsidR="00000000" w:rsidDel="00000000" w:rsidP="00000000" w:rsidRDefault="00000000" w:rsidRPr="00000000" w14:paraId="000000F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 resolution microscopy reveals how elongating RNA polymerase II and nascent RNA interact with nucleosome clutches - PMC, accessed June 24, 2025, </w:t>
      </w:r>
      <w:hyperlink r:id="rId38">
        <w:r w:rsidDel="00000000" w:rsidR="00000000" w:rsidRPr="00000000">
          <w:rPr>
            <w:rFonts w:ascii="Google Sans" w:cs="Google Sans" w:eastAsia="Google Sans" w:hAnsi="Google Sans"/>
            <w:color w:val="0000ee"/>
            <w:sz w:val="24"/>
            <w:szCs w:val="24"/>
            <w:u w:val="single"/>
            <w:rtl w:val="0"/>
          </w:rPr>
          <w:t xml:space="preserve">https://pmc.ncbi.nlm.nih.gov/articles/PMC8754629/</w:t>
        </w:r>
      </w:hyperlink>
      <w:r w:rsidDel="00000000" w:rsidR="00000000" w:rsidRPr="00000000">
        <w:rPr>
          <w:rtl w:val="0"/>
        </w:rPr>
      </w:r>
    </w:p>
    <w:p w:rsidR="00000000" w:rsidDel="00000000" w:rsidP="00000000" w:rsidRDefault="00000000" w:rsidRPr="00000000" w14:paraId="000000F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clusters form in line with surface condensation on regulatory chromatin - PubMed, accessed June 24, 2025, </w:t>
      </w:r>
      <w:hyperlink r:id="rId39">
        <w:r w:rsidDel="00000000" w:rsidR="00000000" w:rsidRPr="00000000">
          <w:rPr>
            <w:rFonts w:ascii="Google Sans" w:cs="Google Sans" w:eastAsia="Google Sans" w:hAnsi="Google Sans"/>
            <w:color w:val="0000ee"/>
            <w:sz w:val="24"/>
            <w:szCs w:val="24"/>
            <w:u w:val="single"/>
            <w:rtl w:val="0"/>
          </w:rPr>
          <w:t xml:space="preserve">https://pubmed.ncbi.nlm.nih.gov/34569155/</w:t>
        </w:r>
      </w:hyperlink>
      <w:r w:rsidDel="00000000" w:rsidR="00000000" w:rsidRPr="00000000">
        <w:rPr>
          <w:rtl w:val="0"/>
        </w:rPr>
      </w:r>
    </w:p>
    <w:p w:rsidR="00000000" w:rsidDel="00000000" w:rsidP="00000000" w:rsidRDefault="00000000" w:rsidRPr="00000000" w14:paraId="000000F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clusters form in line with surface condensation on regulatory chromatin, accessed June 24, 2025, </w:t>
      </w:r>
      <w:hyperlink r:id="rId40">
        <w:r w:rsidDel="00000000" w:rsidR="00000000" w:rsidRPr="00000000">
          <w:rPr>
            <w:rFonts w:ascii="Google Sans" w:cs="Google Sans" w:eastAsia="Google Sans" w:hAnsi="Google Sans"/>
            <w:color w:val="0000ee"/>
            <w:sz w:val="24"/>
            <w:szCs w:val="24"/>
            <w:u w:val="single"/>
            <w:rtl w:val="0"/>
          </w:rPr>
          <w:t xml:space="preserve">https://www.embopress.org/doi/abs/10.15252/msb.202110272</w:t>
        </w:r>
      </w:hyperlink>
      <w:r w:rsidDel="00000000" w:rsidR="00000000" w:rsidRPr="00000000">
        <w:rPr>
          <w:rtl w:val="0"/>
        </w:rPr>
      </w:r>
    </w:p>
    <w:p w:rsidR="00000000" w:rsidDel="00000000" w:rsidP="00000000" w:rsidRDefault="00000000" w:rsidRPr="00000000" w14:paraId="000000F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 molecule tracking reveals nanodomains in ... - bioRxiv, accessed June 24, 2025, </w:t>
      </w:r>
      <w:hyperlink r:id="rId41">
        <w:r w:rsidDel="00000000" w:rsidR="00000000" w:rsidRPr="00000000">
          <w:rPr>
            <w:rFonts w:ascii="Google Sans" w:cs="Google Sans" w:eastAsia="Google Sans" w:hAnsi="Google Sans"/>
            <w:color w:val="0000ee"/>
            <w:sz w:val="24"/>
            <w:szCs w:val="24"/>
            <w:u w:val="single"/>
            <w:rtl w:val="0"/>
          </w:rPr>
          <w:t xml:space="preserve">https://www.biorxiv.org/content/10.1101/2024.04.01.587651v1.full.pdf</w:t>
        </w:r>
      </w:hyperlink>
      <w:r w:rsidDel="00000000" w:rsidR="00000000" w:rsidRPr="00000000">
        <w:rPr>
          <w:rtl w:val="0"/>
        </w:rPr>
      </w:r>
    </w:p>
    <w:p w:rsidR="00000000" w:rsidDel="00000000" w:rsidP="00000000" w:rsidRDefault="00000000" w:rsidRPr="00000000" w14:paraId="000000F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vivo dynamics of RNA polymerase II transcription - PMC, accessed June 24, 2025, </w:t>
      </w:r>
      <w:hyperlink r:id="rId42">
        <w:r w:rsidDel="00000000" w:rsidR="00000000" w:rsidRPr="00000000">
          <w:rPr>
            <w:rFonts w:ascii="Google Sans" w:cs="Google Sans" w:eastAsia="Google Sans" w:hAnsi="Google Sans"/>
            <w:color w:val="0000ee"/>
            <w:sz w:val="24"/>
            <w:szCs w:val="24"/>
            <w:u w:val="single"/>
            <w:rtl w:val="0"/>
          </w:rPr>
          <w:t xml:space="preserve">https://pmc.ncbi.nlm.nih.gov/articles/PMC4942130/</w:t>
        </w:r>
      </w:hyperlink>
      <w:r w:rsidDel="00000000" w:rsidR="00000000" w:rsidRPr="00000000">
        <w:rPr>
          <w:rtl w:val="0"/>
        </w:rPr>
      </w:r>
    </w:p>
    <w:p w:rsidR="00000000" w:rsidDel="00000000" w:rsidP="00000000" w:rsidRDefault="00000000" w:rsidRPr="00000000" w14:paraId="000000F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Live-cell analysis of endogenous GFP-RPB1 uncovers rapid turnover of initiating and promoter-paused RNA Polymerase II | PNAS, accessed June 24, 2025, </w:t>
      </w:r>
      <w:hyperlink r:id="rId43">
        <w:r w:rsidDel="00000000" w:rsidR="00000000" w:rsidRPr="00000000">
          <w:rPr>
            <w:rFonts w:ascii="Google Sans" w:cs="Google Sans" w:eastAsia="Google Sans" w:hAnsi="Google Sans"/>
            <w:color w:val="0000ee"/>
            <w:sz w:val="24"/>
            <w:szCs w:val="24"/>
            <w:u w:val="single"/>
            <w:rtl w:val="0"/>
          </w:rPr>
          <w:t xml:space="preserve">https://www.pnas.org/doi/10.1073/pnas.1717920115</w:t>
        </w:r>
      </w:hyperlink>
      <w:r w:rsidDel="00000000" w:rsidR="00000000" w:rsidRPr="00000000">
        <w:rPr>
          <w:rtl w:val="0"/>
        </w:rPr>
      </w:r>
    </w:p>
    <w:p w:rsidR="00000000" w:rsidDel="00000000" w:rsidP="00000000" w:rsidRDefault="00000000" w:rsidRPr="00000000" w14:paraId="000000F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Live-cell analysis of endogenous GFP-RPB1 uncovers rapid turnover of initiating and promoter-paused RNA Polymerase II | PNAS, accessed June 24, 2025, </w:t>
      </w:r>
      <w:hyperlink r:id="rId44">
        <w:r w:rsidDel="00000000" w:rsidR="00000000" w:rsidRPr="00000000">
          <w:rPr>
            <w:rFonts w:ascii="Google Sans" w:cs="Google Sans" w:eastAsia="Google Sans" w:hAnsi="Google Sans"/>
            <w:color w:val="0000ee"/>
            <w:sz w:val="24"/>
            <w:szCs w:val="24"/>
            <w:u w:val="single"/>
            <w:rtl w:val="0"/>
          </w:rPr>
          <w:t xml:space="preserve">https://www.pnas.org/cgi/reprint/115/19/E4368</w:t>
        </w:r>
      </w:hyperlink>
      <w:r w:rsidDel="00000000" w:rsidR="00000000" w:rsidRPr="00000000">
        <w:rPr>
          <w:rtl w:val="0"/>
        </w:rPr>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Power-law behavior of transcription factor dynamics at the single ..., accessed June 24,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https://pmc.ncbi.nlm.nih.gov/articles/PMC8266587/</w:t>
        </w:r>
      </w:hyperlink>
      <w:r w:rsidDel="00000000" w:rsidR="00000000" w:rsidRPr="00000000">
        <w:rPr>
          <w:rtl w:val="0"/>
        </w:rPr>
      </w:r>
    </w:p>
    <w:p w:rsidR="00000000" w:rsidDel="00000000" w:rsidP="00000000" w:rsidRDefault="00000000" w:rsidRPr="00000000" w14:paraId="000000F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Single-molecule tracking of transcription protein dynamics in living cells: seeing is believing, but what are we seeing? - PubMed Central, accessed June 24, 2025, </w:t>
      </w:r>
      <w:hyperlink r:id="rId46">
        <w:r w:rsidDel="00000000" w:rsidR="00000000" w:rsidRPr="00000000">
          <w:rPr>
            <w:rFonts w:ascii="Google Sans" w:cs="Google Sans" w:eastAsia="Google Sans" w:hAnsi="Google Sans"/>
            <w:color w:val="0000ee"/>
            <w:sz w:val="24"/>
            <w:szCs w:val="24"/>
            <w:u w:val="single"/>
            <w:rtl w:val="0"/>
          </w:rPr>
          <w:t xml:space="preserve">https://pmc.ncbi.nlm.nih.gov/articles/PMC9150788/</w:t>
        </w:r>
      </w:hyperlink>
      <w:r w:rsidDel="00000000" w:rsidR="00000000" w:rsidRPr="00000000">
        <w:rPr>
          <w:rtl w:val="0"/>
        </w:rPr>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Single-molecule and super-resolution imaging of transcription in living bacteria - PMC, accessed June 24, 2025, </w:t>
      </w:r>
      <w:hyperlink r:id="rId47">
        <w:r w:rsidDel="00000000" w:rsidR="00000000" w:rsidRPr="00000000">
          <w:rPr>
            <w:rFonts w:ascii="Google Sans" w:cs="Google Sans" w:eastAsia="Google Sans" w:hAnsi="Google Sans"/>
            <w:color w:val="0000ee"/>
            <w:sz w:val="24"/>
            <w:szCs w:val="24"/>
            <w:u w:val="single"/>
            <w:rtl w:val="0"/>
          </w:rPr>
          <w:t xml:space="preserve">https://pmc.ncbi.nlm.nih.gov/articles/PMC5670121/</w:t>
        </w:r>
      </w:hyperlink>
      <w:r w:rsidDel="00000000" w:rsidR="00000000" w:rsidRPr="00000000">
        <w:rPr>
          <w:rtl w:val="0"/>
        </w:rPr>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Polymerase II cluster dynamics predict mRNA output in living cells - eLife, accessed June 24, 2025, </w:t>
      </w:r>
      <w:hyperlink r:id="rId48">
        <w:r w:rsidDel="00000000" w:rsidR="00000000" w:rsidRPr="00000000">
          <w:rPr>
            <w:rFonts w:ascii="Google Sans" w:cs="Google Sans" w:eastAsia="Google Sans" w:hAnsi="Google Sans"/>
            <w:color w:val="0000ee"/>
            <w:sz w:val="24"/>
            <w:szCs w:val="24"/>
            <w:u w:val="single"/>
            <w:rtl w:val="0"/>
          </w:rPr>
          <w:t xml:space="preserve">https://elifesciences.org/articles/13617</w:t>
        </w:r>
      </w:hyperlink>
      <w:r w:rsidDel="00000000" w:rsidR="00000000" w:rsidRPr="00000000">
        <w:rPr>
          <w:rtl w:val="0"/>
        </w:rPr>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Live-cell imaging reveals the spatiotemporal organization of endogenous RNA polymerase II phosphorylation at a single gene | bioRxiv, accessed June 24, 2025, </w:t>
      </w:r>
      <w:hyperlink r:id="rId49">
        <w:r w:rsidDel="00000000" w:rsidR="00000000" w:rsidRPr="00000000">
          <w:rPr>
            <w:rFonts w:ascii="Google Sans" w:cs="Google Sans" w:eastAsia="Google Sans" w:hAnsi="Google Sans"/>
            <w:color w:val="0000ee"/>
            <w:sz w:val="24"/>
            <w:szCs w:val="24"/>
            <w:u w:val="single"/>
            <w:rtl w:val="0"/>
          </w:rPr>
          <w:t xml:space="preserve">https://www.biorxiv.org/content/10.1101/2020.04.03.024414v2.full-text</w:t>
        </w:r>
      </w:hyperlink>
      <w:r w:rsidDel="00000000" w:rsidR="00000000" w:rsidRPr="00000000">
        <w:rPr>
          <w:rtl w:val="0"/>
        </w:rPr>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Considerations and Challenges in Studying Liquid-Liquid Phase Separation and Biomolecular Condensates | Request PDF - ResearchGate, accessed June 24, 2025, </w:t>
      </w:r>
      <w:hyperlink r:id="rId50">
        <w:r w:rsidDel="00000000" w:rsidR="00000000" w:rsidRPr="00000000">
          <w:rPr>
            <w:rFonts w:ascii="Google Sans" w:cs="Google Sans" w:eastAsia="Google Sans" w:hAnsi="Google Sans"/>
            <w:color w:val="0000ee"/>
            <w:sz w:val="24"/>
            <w:szCs w:val="24"/>
            <w:u w:val="single"/>
            <w:rtl w:val="0"/>
          </w:rPr>
          <w:t xml:space="preserve">https://www.researchgate.net/publication/330633342_Considerations_and_Challenges_in_Studying_Liquid-Liquid_Phase_Separation_and_Biomolecular_Condensates</w:t>
        </w:r>
      </w:hyperlink>
      <w:r w:rsidDel="00000000" w:rsidR="00000000" w:rsidRPr="00000000">
        <w:rPr>
          <w:rtl w:val="0"/>
        </w:rPr>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Peer review in Transcription factor condensates, 3D clustering, and gene expression enhancement of the MET regulon | eLife, accessed June 24, 2025, </w:t>
      </w:r>
      <w:hyperlink r:id="rId51">
        <w:r w:rsidDel="00000000" w:rsidR="00000000" w:rsidRPr="00000000">
          <w:rPr>
            <w:rFonts w:ascii="Google Sans" w:cs="Google Sans" w:eastAsia="Google Sans" w:hAnsi="Google Sans"/>
            <w:color w:val="0000ee"/>
            <w:sz w:val="24"/>
            <w:szCs w:val="24"/>
            <w:u w:val="single"/>
            <w:rtl w:val="0"/>
          </w:rPr>
          <w:t xml:space="preserve">https://elifesciences.org/articles/96028/peer-reviews</w:t>
        </w:r>
      </w:hyperlink>
      <w:r w:rsidDel="00000000" w:rsidR="00000000" w:rsidRPr="00000000">
        <w:rPr>
          <w:rtl w:val="0"/>
        </w:rPr>
      </w:r>
    </w:p>
    <w:p w:rsidR="00000000" w:rsidDel="00000000" w:rsidP="00000000" w:rsidRDefault="00000000" w:rsidRPr="00000000" w14:paraId="0000010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Clusters of bacterial RNA polymerase are biomolecular condensates that assemble through liquid–liquid phase separation | PNAS, accessed June 24, 2025, </w:t>
      </w:r>
      <w:hyperlink r:id="rId52">
        <w:r w:rsidDel="00000000" w:rsidR="00000000" w:rsidRPr="00000000">
          <w:rPr>
            <w:rFonts w:ascii="Google Sans" w:cs="Google Sans" w:eastAsia="Google Sans" w:hAnsi="Google Sans"/>
            <w:color w:val="0000ee"/>
            <w:sz w:val="24"/>
            <w:szCs w:val="24"/>
            <w:u w:val="single"/>
            <w:rtl w:val="0"/>
          </w:rPr>
          <w:t xml:space="preserve">https://www.pnas.org/doi/10.1073/pnas.2005019117</w:t>
        </w:r>
      </w:hyperlink>
      <w:r w:rsidDel="00000000" w:rsidR="00000000" w:rsidRPr="00000000">
        <w:rPr>
          <w:rtl w:val="0"/>
        </w:rPr>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Factor Condensates Mediate Clustering of MET Regulon and Enhancement in Gene Expression | bioRxiv, accessed June 24, 2025, </w:t>
      </w:r>
      <w:hyperlink r:id="rId53">
        <w:r w:rsidDel="00000000" w:rsidR="00000000" w:rsidRPr="00000000">
          <w:rPr>
            <w:rFonts w:ascii="Google Sans" w:cs="Google Sans" w:eastAsia="Google Sans" w:hAnsi="Google Sans"/>
            <w:color w:val="0000ee"/>
            <w:sz w:val="24"/>
            <w:szCs w:val="24"/>
            <w:u w:val="single"/>
            <w:rtl w:val="0"/>
          </w:rPr>
          <w:t xml:space="preserve">https://www.biorxiv.org/content/10.1101/2024.02.06.579062v1</w:t>
        </w:r>
      </w:hyperlink>
      <w:r w:rsidDel="00000000" w:rsidR="00000000" w:rsidRPr="00000000">
        <w:rPr>
          <w:rtl w:val="0"/>
        </w:rPr>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Reconciling competing models on the roles of condensates and ..., accessed June 24, 2025, </w:t>
      </w:r>
      <w:hyperlink r:id="rId54">
        <w:r w:rsidDel="00000000" w:rsidR="00000000" w:rsidRPr="00000000">
          <w:rPr>
            <w:rFonts w:ascii="Google Sans" w:cs="Google Sans" w:eastAsia="Google Sans" w:hAnsi="Google Sans"/>
            <w:color w:val="0000ee"/>
            <w:sz w:val="24"/>
            <w:szCs w:val="24"/>
            <w:u w:val="single"/>
            <w:rtl w:val="0"/>
          </w:rPr>
          <w:t xml:space="preserve">https://www.biorxiv.org/content/10.1101/2024.11.21.624739v1.full-text</w:t>
        </w:r>
      </w:hyperlink>
      <w:r w:rsidDel="00000000" w:rsidR="00000000" w:rsidRPr="00000000">
        <w:rPr>
          <w:rtl w:val="0"/>
        </w:rPr>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Molecular View into the Structure and Dynamics of Phase ..., accessed June 24, 2025, </w:t>
      </w:r>
      <w:hyperlink r:id="rId55">
        <w:r w:rsidDel="00000000" w:rsidR="00000000" w:rsidRPr="00000000">
          <w:rPr>
            <w:rFonts w:ascii="Google Sans" w:cs="Google Sans" w:eastAsia="Google Sans" w:hAnsi="Google Sans"/>
            <w:color w:val="0000ee"/>
            <w:sz w:val="24"/>
            <w:szCs w:val="24"/>
            <w:u w:val="single"/>
            <w:rtl w:val="0"/>
          </w:rPr>
          <w:t xml:space="preserve">https://pubs.acs.org/doi/10.1021/acs.jpcb.4c04420</w:t>
        </w:r>
      </w:hyperlink>
      <w:r w:rsidDel="00000000" w:rsidR="00000000" w:rsidRPr="00000000">
        <w:rPr>
          <w:rtl w:val="0"/>
        </w:rPr>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diverse conditions, intrinsic chromatin condensates have liquid-like material properties | PNAS, accessed June 24, 2025, </w:t>
      </w:r>
      <w:hyperlink r:id="rId56">
        <w:r w:rsidDel="00000000" w:rsidR="00000000" w:rsidRPr="00000000">
          <w:rPr>
            <w:rFonts w:ascii="Google Sans" w:cs="Google Sans" w:eastAsia="Google Sans" w:hAnsi="Google Sans"/>
            <w:color w:val="0000ee"/>
            <w:sz w:val="24"/>
            <w:szCs w:val="24"/>
            <w:u w:val="single"/>
            <w:rtl w:val="0"/>
          </w:rPr>
          <w:t xml:space="preserve">https://www.pnas.org/doi/10.1073/pnas.2218085120</w:t>
        </w:r>
      </w:hyperlink>
      <w:r w:rsidDel="00000000" w:rsidR="00000000" w:rsidRPr="00000000">
        <w:rPr>
          <w:rtl w:val="0"/>
        </w:rPr>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and Dynamics: Focus on Neuronal Differentiation and Pathological Implication - PMC - PubMed Central, accessed June 24, 2025, </w:t>
      </w:r>
      <w:hyperlink r:id="rId57">
        <w:r w:rsidDel="00000000" w:rsidR="00000000" w:rsidRPr="00000000">
          <w:rPr>
            <w:rFonts w:ascii="Google Sans" w:cs="Google Sans" w:eastAsia="Google Sans" w:hAnsi="Google Sans"/>
            <w:color w:val="0000ee"/>
            <w:sz w:val="24"/>
            <w:szCs w:val="24"/>
            <w:u w:val="single"/>
            <w:rtl w:val="0"/>
          </w:rPr>
          <w:t xml:space="preserve">https://pmc.ncbi.nlm.nih.gov/articles/PMC9029427/</w:t>
        </w:r>
      </w:hyperlink>
      <w:r w:rsidDel="00000000" w:rsidR="00000000" w:rsidRPr="00000000">
        <w:rPr>
          <w:rtl w:val="0"/>
        </w:rPr>
      </w:r>
    </w:p>
    <w:p w:rsidR="00000000" w:rsidDel="00000000" w:rsidP="00000000" w:rsidRDefault="00000000" w:rsidRPr="00000000" w14:paraId="0000010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Rapid and reversible dissolution of biomolecular ... - bioRxiv, accessed June 24, 2025, </w:t>
      </w:r>
      <w:hyperlink r:id="rId58">
        <w:r w:rsidDel="00000000" w:rsidR="00000000" w:rsidRPr="00000000">
          <w:rPr>
            <w:rFonts w:ascii="Google Sans" w:cs="Google Sans" w:eastAsia="Google Sans" w:hAnsi="Google Sans"/>
            <w:color w:val="0000ee"/>
            <w:sz w:val="24"/>
            <w:szCs w:val="24"/>
            <w:u w:val="single"/>
            <w:rtl w:val="0"/>
          </w:rPr>
          <w:t xml:space="preserve">https://www.biorxiv.org/content/10.1101/2024.01.16.575860v1.full.pdf</w:t>
        </w:r>
      </w:hyperlink>
      <w:r w:rsidDel="00000000" w:rsidR="00000000" w:rsidRPr="00000000">
        <w:rPr>
          <w:rtl w:val="0"/>
        </w:rPr>
      </w:r>
    </w:p>
    <w:p w:rsidR="00000000" w:rsidDel="00000000" w:rsidP="00000000" w:rsidRDefault="00000000" w:rsidRPr="00000000" w14:paraId="0000010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Photobleaching and phototoxicity of mitochondria in live cell fluorescent super-resolution microscopy - ResearchGate, accessed June 24, 2025, </w:t>
      </w:r>
      <w:hyperlink r:id="rId59">
        <w:r w:rsidDel="00000000" w:rsidR="00000000" w:rsidRPr="00000000">
          <w:rPr>
            <w:rFonts w:ascii="Google Sans" w:cs="Google Sans" w:eastAsia="Google Sans" w:hAnsi="Google Sans"/>
            <w:color w:val="0000ee"/>
            <w:sz w:val="24"/>
            <w:szCs w:val="24"/>
            <w:u w:val="single"/>
            <w:rtl w:val="0"/>
          </w:rPr>
          <w:t xml:space="preserve">https://www.researchgate.net/publication/379032405_Photobleaching_and_phototoxicity_of_mitochondria_in_live_cell_fluorescent_super-resolution_microscopy</w:t>
        </w:r>
      </w:hyperlink>
      <w:r w:rsidDel="00000000" w:rsidR="00000000" w:rsidRPr="00000000">
        <w:rPr>
          <w:rtl w:val="0"/>
        </w:rPr>
      </w:r>
    </w:p>
    <w:p w:rsidR="00000000" w:rsidDel="00000000" w:rsidP="00000000" w:rsidRDefault="00000000" w:rsidRPr="00000000" w14:paraId="0000010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Between life and death: strategies to reduce phototoxicity in super-resolution microscopy, accessed June 24,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https://pmc.ncbi.nlm.nih.gov/articles/PMC8114953/</w:t>
        </w:r>
      </w:hyperlink>
      <w:r w:rsidDel="00000000" w:rsidR="00000000" w:rsidRPr="00000000">
        <w:rPr>
          <w:rtl w:val="0"/>
        </w:rPr>
      </w:r>
    </w:p>
    <w:p w:rsidR="00000000" w:rsidDel="00000000" w:rsidP="00000000" w:rsidRDefault="00000000" w:rsidRPr="00000000" w14:paraId="0000010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Between life and death: Strategies to reduce phototoxicity in super-resolution microscopy - ResearchGate, accessed June 24, 2025, </w:t>
      </w:r>
      <w:hyperlink r:id="rId61">
        <w:r w:rsidDel="00000000" w:rsidR="00000000" w:rsidRPr="00000000">
          <w:rPr>
            <w:rFonts w:ascii="Google Sans" w:cs="Google Sans" w:eastAsia="Google Sans" w:hAnsi="Google Sans"/>
            <w:color w:val="0000ee"/>
            <w:sz w:val="24"/>
            <w:szCs w:val="24"/>
            <w:u w:val="single"/>
            <w:rtl w:val="0"/>
          </w:rPr>
          <w:t xml:space="preserve">https://www.researchgate.net/publication/338617404_Between_life_and_death_Strategies_to_reduce_phototoxicity_in_super-resolution_microscopy</w:t>
        </w:r>
      </w:hyperlink>
      <w:r w:rsidDel="00000000" w:rsidR="00000000" w:rsidRPr="00000000">
        <w:rPr>
          <w:rtl w:val="0"/>
        </w:rPr>
      </w:r>
    </w:p>
    <w:p w:rsidR="00000000" w:rsidDel="00000000" w:rsidP="00000000" w:rsidRDefault="00000000" w:rsidRPr="00000000" w14:paraId="0000010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Between life and death: strategies to reduce phototoxicity in super- resolution microscopy - Henriques lab to ITQB, accessed June 24, 2025, </w:t>
      </w:r>
      <w:hyperlink r:id="rId62">
        <w:r w:rsidDel="00000000" w:rsidR="00000000" w:rsidRPr="00000000">
          <w:rPr>
            <w:rFonts w:ascii="Google Sans" w:cs="Google Sans" w:eastAsia="Google Sans" w:hAnsi="Google Sans"/>
            <w:color w:val="0000ee"/>
            <w:sz w:val="24"/>
            <w:szCs w:val="24"/>
            <w:u w:val="single"/>
            <w:rtl w:val="0"/>
          </w:rPr>
          <w:t xml:space="preserve">https://henriqueslab.org/publications/2020__tosheva__journal_of_physics_d_applied_physics.pdf</w:t>
        </w:r>
      </w:hyperlink>
      <w:r w:rsidDel="00000000" w:rsidR="00000000" w:rsidRPr="00000000">
        <w:rPr>
          <w:rtl w:val="0"/>
        </w:rPr>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Harnessing artificial intelligence to reduce phototoxicity in live imaging | Journal of Cell Science | The Company of Biologists, accessed June 24, 2025, </w:t>
      </w:r>
      <w:hyperlink r:id="rId63">
        <w:r w:rsidDel="00000000" w:rsidR="00000000" w:rsidRPr="00000000">
          <w:rPr>
            <w:rFonts w:ascii="Google Sans" w:cs="Google Sans" w:eastAsia="Google Sans" w:hAnsi="Google Sans"/>
            <w:color w:val="0000ee"/>
            <w:sz w:val="24"/>
            <w:szCs w:val="24"/>
            <w:u w:val="single"/>
            <w:rtl w:val="0"/>
          </w:rPr>
          <w:t xml:space="preserve">https://journals.biologists.com/jcs/article/137/3/jcs261545/342983/Harnessing-artificial-intelligence-to-reduce</w:t>
        </w:r>
      </w:hyperlink>
      <w:r w:rsidDel="00000000" w:rsidR="00000000" w:rsidRPr="00000000">
        <w:rPr>
          <w:rtl w:val="0"/>
        </w:rPr>
      </w:r>
    </w:p>
    <w:p w:rsidR="00000000" w:rsidDel="00000000" w:rsidP="00000000" w:rsidRDefault="00000000" w:rsidRPr="00000000" w14:paraId="0000011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fluorescence imaging of organelles in live cells with photoswitchable membrane probes | PNAS, accessed June 24, 2025, </w:t>
      </w:r>
      <w:hyperlink r:id="rId64">
        <w:r w:rsidDel="00000000" w:rsidR="00000000" w:rsidRPr="00000000">
          <w:rPr>
            <w:rFonts w:ascii="Google Sans" w:cs="Google Sans" w:eastAsia="Google Sans" w:hAnsi="Google Sans"/>
            <w:color w:val="0000ee"/>
            <w:sz w:val="24"/>
            <w:szCs w:val="24"/>
            <w:u w:val="single"/>
            <w:rtl w:val="0"/>
          </w:rPr>
          <w:t xml:space="preserve">https://www.pnas.org/doi/10.1073/pnas.1201882109</w:t>
        </w:r>
      </w:hyperlink>
      <w:r w:rsidDel="00000000" w:rsidR="00000000" w:rsidRPr="00000000">
        <w:rPr>
          <w:rtl w:val="0"/>
        </w:rPr>
      </w:r>
    </w:p>
    <w:p w:rsidR="00000000" w:rsidDel="00000000" w:rsidP="00000000" w:rsidRDefault="00000000" w:rsidRPr="00000000" w14:paraId="0000011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 of native transcription factors and histone phosphorylation ..., accessed June 24, 2025, </w:t>
      </w:r>
      <w:hyperlink r:id="rId65">
        <w:r w:rsidDel="00000000" w:rsidR="00000000" w:rsidRPr="00000000">
          <w:rPr>
            <w:rFonts w:ascii="Google Sans" w:cs="Google Sans" w:eastAsia="Google Sans" w:hAnsi="Google Sans"/>
            <w:color w:val="0000ee"/>
            <w:sz w:val="24"/>
            <w:szCs w:val="24"/>
            <w:u w:val="single"/>
            <w:rtl w:val="0"/>
          </w:rPr>
          <w:t xml:space="preserve">https://rupress.org/jcb/article/217/4/1537/39206/Imaging-of-native-transcription-factors-and</w:t>
        </w:r>
      </w:hyperlink>
      <w:r w:rsidDel="00000000" w:rsidR="00000000" w:rsidRPr="00000000">
        <w:rPr>
          <w:rtl w:val="0"/>
        </w:rPr>
      </w:r>
    </w:p>
    <w:p w:rsidR="00000000" w:rsidDel="00000000" w:rsidP="00000000" w:rsidRDefault="00000000" w:rsidRPr="00000000" w14:paraId="0000011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Direct fluorescent-dye labeling of α-tubulin in mammalian cells for live cell and superresolution imaging - Molecular Biology of the Cell (MBoC), accessed June 24, 2025, </w:t>
      </w:r>
      <w:hyperlink r:id="rId66">
        <w:r w:rsidDel="00000000" w:rsidR="00000000" w:rsidRPr="00000000">
          <w:rPr>
            <w:rFonts w:ascii="Google Sans" w:cs="Google Sans" w:eastAsia="Google Sans" w:hAnsi="Google Sans"/>
            <w:color w:val="0000ee"/>
            <w:sz w:val="24"/>
            <w:szCs w:val="24"/>
            <w:u w:val="single"/>
            <w:rtl w:val="0"/>
          </w:rPr>
          <w:t xml:space="preserve">https://www.molbiolcell.org/doi/10.1091/mbc.e17-03-0161</w:t>
        </w:r>
      </w:hyperlink>
      <w:r w:rsidDel="00000000" w:rsidR="00000000" w:rsidRPr="00000000">
        <w:rPr>
          <w:rtl w:val="0"/>
        </w:rPr>
      </w:r>
    </w:p>
    <w:p w:rsidR="00000000" w:rsidDel="00000000" w:rsidP="00000000" w:rsidRDefault="00000000" w:rsidRPr="00000000" w14:paraId="0000011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Visualizing transcription factor dynamics in living cells - PMC, accessed June 24,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https://pmc.ncbi.nlm.nih.gov/articles/PMC5881510/</w:t>
        </w:r>
      </w:hyperlink>
      <w:r w:rsidDel="00000000" w:rsidR="00000000" w:rsidRPr="00000000">
        <w:rPr>
          <w:rtl w:val="0"/>
        </w:rPr>
      </w:r>
    </w:p>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Quantifying Transcription Factor Binding Dynamics at the Single-molecule Level in Live Cells, accessed June 24, 2025, </w:t>
      </w:r>
      <w:hyperlink r:id="rId68">
        <w:r w:rsidDel="00000000" w:rsidR="00000000" w:rsidRPr="00000000">
          <w:rPr>
            <w:rFonts w:ascii="Google Sans" w:cs="Google Sans" w:eastAsia="Google Sans" w:hAnsi="Google Sans"/>
            <w:color w:val="0000ee"/>
            <w:sz w:val="24"/>
            <w:szCs w:val="24"/>
            <w:u w:val="single"/>
            <w:rtl w:val="0"/>
          </w:rPr>
          <w:t xml:space="preserve">https://ri.conicet.gov.ar/bitstream/11336/64420/5/CONICET_Digital_Nro.56a2b6e8-caab-4720-9034-33096e046ca5_X.pdf</w:t>
        </w:r>
      </w:hyperlink>
      <w:r w:rsidDel="00000000" w:rsidR="00000000" w:rsidRPr="00000000">
        <w:rPr>
          <w:rtl w:val="0"/>
        </w:rPr>
      </w:r>
    </w:p>
    <w:p w:rsidR="00000000" w:rsidDel="00000000" w:rsidP="00000000" w:rsidRDefault="00000000" w:rsidRPr="00000000" w14:paraId="0000011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CryoSIM: super resolution 3D structured illumination cryogenic fluorescence microscopy for correlated ultra-structural imaging | bioRxiv, accessed June 24, 2025, </w:t>
      </w:r>
      <w:hyperlink r:id="rId69">
        <w:r w:rsidDel="00000000" w:rsidR="00000000" w:rsidRPr="00000000">
          <w:rPr>
            <w:rFonts w:ascii="Google Sans" w:cs="Google Sans" w:eastAsia="Google Sans" w:hAnsi="Google Sans"/>
            <w:color w:val="0000ee"/>
            <w:sz w:val="24"/>
            <w:szCs w:val="24"/>
            <w:u w:val="single"/>
            <w:rtl w:val="0"/>
          </w:rPr>
          <w:t xml:space="preserve">https://www.biorxiv.org/content/10.1101/2020.03.09.980334v3.full-text</w:t>
        </w:r>
      </w:hyperlink>
      <w:r w:rsidDel="00000000" w:rsidR="00000000" w:rsidRPr="00000000">
        <w:rPr>
          <w:rtl w:val="0"/>
        </w:rPr>
      </w:r>
    </w:p>
    <w:p w:rsidR="00000000" w:rsidDel="00000000" w:rsidP="00000000" w:rsidRDefault="00000000" w:rsidRPr="00000000" w14:paraId="0000011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Correlative light and electron microscopy fundamentals - Delmic, accessed June 24, 2025, </w:t>
      </w:r>
      <w:hyperlink r:id="rId70">
        <w:r w:rsidDel="00000000" w:rsidR="00000000" w:rsidRPr="00000000">
          <w:rPr>
            <w:rFonts w:ascii="Google Sans" w:cs="Google Sans" w:eastAsia="Google Sans" w:hAnsi="Google Sans"/>
            <w:color w:val="0000ee"/>
            <w:sz w:val="24"/>
            <w:szCs w:val="24"/>
            <w:u w:val="single"/>
            <w:rtl w:val="0"/>
          </w:rPr>
          <w:t xml:space="preserve">https://www.delmic.com/en/techniques/correlative-light-electron-microscopy</w:t>
        </w:r>
      </w:hyperlink>
      <w:r w:rsidDel="00000000" w:rsidR="00000000" w:rsidRPr="00000000">
        <w:rPr>
          <w:rtl w:val="0"/>
        </w:rPr>
      </w:r>
    </w:p>
    <w:p w:rsidR="00000000" w:rsidDel="00000000" w:rsidP="00000000" w:rsidRDefault="00000000" w:rsidRPr="00000000" w14:paraId="0000011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Project 1.4 The structure and function of ... - Warsaw-4-PhD, accessed June 24, 2025, </w:t>
      </w:r>
      <w:hyperlink r:id="rId71">
        <w:r w:rsidDel="00000000" w:rsidR="00000000" w:rsidRPr="00000000">
          <w:rPr>
            <w:rFonts w:ascii="Google Sans" w:cs="Google Sans" w:eastAsia="Google Sans" w:hAnsi="Google Sans"/>
            <w:color w:val="0000ee"/>
            <w:sz w:val="24"/>
            <w:szCs w:val="24"/>
            <w:u w:val="single"/>
            <w:rtl w:val="0"/>
          </w:rPr>
          <w:t xml:space="preserve">https://warsaw4phd.eu/yleerdad/2025/04/Project-1.4-A.-Klosin.pdf</w:t>
        </w:r>
      </w:hyperlink>
      <w:r w:rsidDel="00000000" w:rsidR="00000000" w:rsidRPr="00000000">
        <w:rPr>
          <w:rtl w:val="0"/>
        </w:rPr>
      </w:r>
    </w:p>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 organization of RNA polymerase II inside a mammalian cell nucleus revealed by reflected light-sheet superresolution microscopy | PNAS, accessed June 24, 2025, </w:t>
      </w:r>
      <w:hyperlink r:id="rId72">
        <w:r w:rsidDel="00000000" w:rsidR="00000000" w:rsidRPr="00000000">
          <w:rPr>
            <w:rFonts w:ascii="Google Sans" w:cs="Google Sans" w:eastAsia="Google Sans" w:hAnsi="Google Sans"/>
            <w:color w:val="0000ee"/>
            <w:sz w:val="24"/>
            <w:szCs w:val="24"/>
            <w:u w:val="single"/>
            <w:rtl w:val="0"/>
          </w:rPr>
          <w:t xml:space="preserve">https://www.pnas.org/doi/10.1073/pnas.1318496111</w:t>
        </w:r>
      </w:hyperlink>
      <w:r w:rsidDel="00000000" w:rsidR="00000000" w:rsidRPr="00000000">
        <w:rPr>
          <w:rtl w:val="0"/>
        </w:rPr>
      </w:r>
    </w:p>
    <w:p w:rsidR="00000000" w:rsidDel="00000000" w:rsidP="00000000" w:rsidRDefault="00000000" w:rsidRPr="00000000" w14:paraId="0000011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Correlative Light and Electron Microscopy (CLEM) Analysis of Nuclear Reorganization Induced by Clustered DNA Damage Upon Charged Particle Irradiation - MDPI, accessed June 24, 2025, </w:t>
      </w:r>
      <w:hyperlink r:id="rId73">
        <w:r w:rsidDel="00000000" w:rsidR="00000000" w:rsidRPr="00000000">
          <w:rPr>
            <w:rFonts w:ascii="Google Sans" w:cs="Google Sans" w:eastAsia="Google Sans" w:hAnsi="Google Sans"/>
            <w:color w:val="0000ee"/>
            <w:sz w:val="24"/>
            <w:szCs w:val="24"/>
            <w:u w:val="single"/>
            <w:rtl w:val="0"/>
          </w:rPr>
          <w:t xml:space="preserve">https://www.mdpi.com/1422-0067/21/6/1911</w:t>
        </w:r>
      </w:hyperlink>
      <w:r w:rsidDel="00000000" w:rsidR="00000000" w:rsidRPr="00000000">
        <w:rPr>
          <w:rtl w:val="0"/>
        </w:rPr>
      </w:r>
    </w:p>
    <w:p w:rsidR="00000000" w:rsidDel="00000000" w:rsidP="00000000" w:rsidRDefault="00000000" w:rsidRPr="00000000" w14:paraId="0000011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Optogenetic Toolkit for the Control of Phase Separation in Living Cells, accessed June 24, 2025, </w:t>
      </w:r>
      <w:hyperlink r:id="rId74">
        <w:r w:rsidDel="00000000" w:rsidR="00000000" w:rsidRPr="00000000">
          <w:rPr>
            <w:rFonts w:ascii="Google Sans" w:cs="Google Sans" w:eastAsia="Google Sans" w:hAnsi="Google Sans"/>
            <w:color w:val="0000ee"/>
            <w:sz w:val="24"/>
            <w:szCs w:val="24"/>
            <w:u w:val="single"/>
            <w:rtl w:val="0"/>
          </w:rPr>
          <w:t xml:space="preserve">https://experiments.springernature.com/articles/10.1007/978-1-0716-2663-4_19</w:t>
        </w:r>
      </w:hyperlink>
      <w:r w:rsidDel="00000000" w:rsidR="00000000" w:rsidRPr="00000000">
        <w:rPr>
          <w:rtl w:val="0"/>
        </w:rPr>
      </w:r>
    </w:p>
    <w:p w:rsidR="00000000" w:rsidDel="00000000" w:rsidP="00000000" w:rsidRDefault="00000000" w:rsidRPr="00000000" w14:paraId="0000011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Heterogeneous elasticity drives ripening and controls bursting kinetics of transcriptional condensates | PNAS, accessed June 24, 2025, </w:t>
      </w:r>
      <w:hyperlink r:id="rId75">
        <w:r w:rsidDel="00000000" w:rsidR="00000000" w:rsidRPr="00000000">
          <w:rPr>
            <w:rFonts w:ascii="Google Sans" w:cs="Google Sans" w:eastAsia="Google Sans" w:hAnsi="Google Sans"/>
            <w:color w:val="0000ee"/>
            <w:sz w:val="24"/>
            <w:szCs w:val="24"/>
            <w:u w:val="single"/>
            <w:rtl w:val="0"/>
          </w:rPr>
          <w:t xml:space="preserve">https://www.pnas.org/doi/10.1073/pnas.2316610121</w:t>
        </w:r>
      </w:hyperlink>
      <w:r w:rsidDel="00000000" w:rsidR="00000000" w:rsidRPr="00000000">
        <w:rPr>
          <w:rtl w:val="0"/>
        </w:rPr>
      </w:r>
    </w:p>
    <w:p w:rsidR="00000000" w:rsidDel="00000000" w:rsidP="00000000" w:rsidRDefault="00000000" w:rsidRPr="00000000" w14:paraId="0000011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High-throughput experimental methods for investigating ..., accessed June 24, 2025, </w:t>
      </w:r>
      <w:hyperlink r:id="rId76">
        <w:r w:rsidDel="00000000" w:rsidR="00000000" w:rsidRPr="00000000">
          <w:rPr>
            <w:rFonts w:ascii="Google Sans" w:cs="Google Sans" w:eastAsia="Google Sans" w:hAnsi="Google Sans"/>
            <w:color w:val="0000ee"/>
            <w:sz w:val="24"/>
            <w:szCs w:val="24"/>
            <w:u w:val="single"/>
            <w:rtl w:val="0"/>
          </w:rPr>
          <w:t xml:space="preserve">https://journal.hep.com.cn/qb/EN/10.15302/J-QB-021-0264</w:t>
        </w:r>
      </w:hyperlink>
      <w:r w:rsidDel="00000000" w:rsidR="00000000" w:rsidRPr="00000000">
        <w:rPr>
          <w:rtl w:val="0"/>
        </w:rPr>
      </w:r>
    </w:p>
    <w:p w:rsidR="00000000" w:rsidDel="00000000" w:rsidP="00000000" w:rsidRDefault="00000000" w:rsidRPr="00000000" w14:paraId="0000011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Technologies for studying phase-separated biomolecular condensates, accessed June 24, 2025, </w:t>
      </w:r>
      <w:hyperlink r:id="rId77">
        <w:r w:rsidDel="00000000" w:rsidR="00000000" w:rsidRPr="00000000">
          <w:rPr>
            <w:rFonts w:ascii="Google Sans" w:cs="Google Sans" w:eastAsia="Google Sans" w:hAnsi="Google Sans"/>
            <w:color w:val="0000ee"/>
            <w:sz w:val="24"/>
            <w:szCs w:val="24"/>
            <w:u w:val="single"/>
            <w:rtl w:val="0"/>
          </w:rPr>
          <w:t xml:space="preserve">https://www.researchgate.net/publication/378821100_Technologies_for_studying_phase-separated_biomolecular_condensates</w:t>
        </w:r>
      </w:hyperlink>
      <w:r w:rsidDel="00000000" w:rsidR="00000000" w:rsidRPr="00000000">
        <w:rPr>
          <w:rtl w:val="0"/>
        </w:rPr>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Imaging-based quantitative assessment of biomolecular condensates in vitro and in cells, accessed June 24, 2025,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https://pmc.ncbi.nlm.nih.gov/articles/PMC11803855/</w:t>
        </w:r>
      </w:hyperlink>
      <w:r w:rsidDel="00000000" w:rsidR="00000000" w:rsidRPr="00000000">
        <w:rPr>
          <w:rtl w:val="0"/>
        </w:rPr>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NMR Spectroscopy of Biomolecular Liquid-Liquid Phase Separation, accessed June 24, 2025, </w:t>
      </w:r>
      <w:hyperlink r:id="rId79">
        <w:r w:rsidDel="00000000" w:rsidR="00000000" w:rsidRPr="00000000">
          <w:rPr>
            <w:rFonts w:ascii="Google Sans" w:cs="Google Sans" w:eastAsia="Google Sans" w:hAnsi="Google Sans"/>
            <w:color w:val="0000ee"/>
            <w:sz w:val="24"/>
            <w:szCs w:val="24"/>
            <w:u w:val="single"/>
            <w:rtl w:val="0"/>
          </w:rPr>
          <w:t xml:space="preserve">https://ediss.uni-goettingen.de/handle/11858/15116?locale-attribute=en</w:t>
        </w:r>
      </w:hyperlink>
      <w:r w:rsidDel="00000000" w:rsidR="00000000" w:rsidRPr="00000000">
        <w:rPr>
          <w:rtl w:val="0"/>
        </w:rPr>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transition pathways encode distinct physicochemical properties of biomolecular condensates - bioRxiv, accessed June 24, 2025, </w:t>
      </w:r>
      <w:hyperlink r:id="rId80">
        <w:r w:rsidDel="00000000" w:rsidR="00000000" w:rsidRPr="00000000">
          <w:rPr>
            <w:rFonts w:ascii="Google Sans" w:cs="Google Sans" w:eastAsia="Google Sans" w:hAnsi="Google Sans"/>
            <w:color w:val="0000ee"/>
            <w:sz w:val="24"/>
            <w:szCs w:val="24"/>
            <w:u w:val="single"/>
            <w:rtl w:val="0"/>
          </w:rPr>
          <w:t xml:space="preserve">https://www.biorxiv.org/content/10.1101/2025.03.26.645448v1.full.pdf</w:t>
        </w:r>
      </w:hyperlink>
      <w:r w:rsidDel="00000000" w:rsidR="00000000" w:rsidRPr="00000000">
        <w:rPr>
          <w:rtl w:val="0"/>
        </w:rPr>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Microchannel - 4Dcell, accessed June 24, 2025, </w:t>
      </w:r>
      <w:hyperlink r:id="rId81">
        <w:r w:rsidDel="00000000" w:rsidR="00000000" w:rsidRPr="00000000">
          <w:rPr>
            <w:rFonts w:ascii="Google Sans" w:cs="Google Sans" w:eastAsia="Google Sans" w:hAnsi="Google Sans"/>
            <w:color w:val="0000ee"/>
            <w:sz w:val="24"/>
            <w:szCs w:val="24"/>
            <w:u w:val="single"/>
            <w:rtl w:val="0"/>
          </w:rPr>
          <w:t xml:space="preserve">https://www.4dcell.com/literature-reviews/microchannel</w:t>
        </w:r>
      </w:hyperlink>
      <w:r w:rsidDel="00000000" w:rsidR="00000000" w:rsidRPr="00000000">
        <w:rPr>
          <w:rtl w:val="0"/>
        </w:rPr>
      </w:r>
    </w:p>
    <w:p w:rsidR="00000000" w:rsidDel="00000000" w:rsidP="00000000" w:rsidRDefault="00000000" w:rsidRPr="00000000" w14:paraId="0000012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cell biology: big data image analytics and lattice light-sheet ..., accessed June 24, 2025, </w:t>
      </w:r>
      <w:hyperlink r:id="rId82">
        <w:r w:rsidDel="00000000" w:rsidR="00000000" w:rsidRPr="00000000">
          <w:rPr>
            <w:rFonts w:ascii="Google Sans" w:cs="Google Sans" w:eastAsia="Google Sans" w:hAnsi="Google Sans"/>
            <w:color w:val="0000ee"/>
            <w:sz w:val="24"/>
            <w:szCs w:val="24"/>
            <w:u w:val="single"/>
            <w:rtl w:val="0"/>
          </w:rPr>
          <w:t xml:space="preserve">https://www.molbiolcell.org/doi/10.1091/mbc.E18-06-0375</w:t>
        </w:r>
      </w:hyperlink>
      <w:r w:rsidDel="00000000" w:rsidR="00000000" w:rsidRPr="00000000">
        <w:rPr>
          <w:rtl w:val="0"/>
        </w:rPr>
      </w:r>
    </w:p>
    <w:p w:rsidR="00000000" w:rsidDel="00000000" w:rsidP="00000000" w:rsidRDefault="00000000" w:rsidRPr="00000000" w14:paraId="0000012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4D Cellular Physiology - Janelia Research Campus, accessed June 24, 2025, </w:t>
      </w:r>
      <w:hyperlink r:id="rId83">
        <w:r w:rsidDel="00000000" w:rsidR="00000000" w:rsidRPr="00000000">
          <w:rPr>
            <w:rFonts w:ascii="Google Sans" w:cs="Google Sans" w:eastAsia="Google Sans" w:hAnsi="Google Sans"/>
            <w:color w:val="0000ee"/>
            <w:sz w:val="24"/>
            <w:szCs w:val="24"/>
            <w:u w:val="single"/>
            <w:rtl w:val="0"/>
          </w:rPr>
          <w:t xml:space="preserve">https://www.janelia.org/you-janelia/conferences/4d-cellular-physiology</w:t>
        </w:r>
      </w:hyperlink>
      <w:r w:rsidDel="00000000" w:rsidR="00000000" w:rsidRPr="00000000">
        <w:rPr>
          <w:rtl w:val="0"/>
        </w:rPr>
      </w:r>
    </w:p>
    <w:p w:rsidR="00000000" w:rsidDel="00000000" w:rsidP="00000000" w:rsidRDefault="00000000" w:rsidRPr="00000000" w14:paraId="0000012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Evolving methodologies and concepts in 4D nucleome research - PMC, accessed June 24, 2025, </w:t>
      </w:r>
      <w:hyperlink r:id="rId84">
        <w:r w:rsidDel="00000000" w:rsidR="00000000" w:rsidRPr="00000000">
          <w:rPr>
            <w:rFonts w:ascii="Google Sans" w:cs="Google Sans" w:eastAsia="Google Sans" w:hAnsi="Google Sans"/>
            <w:color w:val="0000ee"/>
            <w:sz w:val="24"/>
            <w:szCs w:val="24"/>
            <w:u w:val="single"/>
            <w:rtl w:val="0"/>
          </w:rPr>
          <w:t xml:space="preserve">https://pmc.ncbi.nlm.nih.gov/articles/PMC7371551/</w:t>
        </w:r>
      </w:hyperlink>
      <w:r w:rsidDel="00000000" w:rsidR="00000000" w:rsidRPr="00000000">
        <w:rPr>
          <w:rtl w:val="0"/>
        </w:rPr>
      </w:r>
    </w:p>
    <w:p w:rsidR="00000000" w:rsidDel="00000000" w:rsidP="00000000" w:rsidRDefault="00000000" w:rsidRPr="00000000" w14:paraId="0000012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 regulation by biomolecular condensates | Request PDF - ResearchGate, accessed June 24, 2025, </w:t>
      </w:r>
      <w:hyperlink r:id="rId85">
        <w:r w:rsidDel="00000000" w:rsidR="00000000" w:rsidRPr="00000000">
          <w:rPr>
            <w:rFonts w:ascii="Google Sans" w:cs="Google Sans" w:eastAsia="Google Sans" w:hAnsi="Google Sans"/>
            <w:color w:val="0000ee"/>
            <w:sz w:val="24"/>
            <w:szCs w:val="24"/>
            <w:u w:val="single"/>
            <w:rtl w:val="0"/>
          </w:rPr>
          <w:t xml:space="preserve">https://www.researchgate.net/publication/385669155_Transcription_regulation_by_biomolecular_condensates</w:t>
        </w:r>
      </w:hyperlink>
      <w:r w:rsidDel="00000000" w:rsidR="00000000" w:rsidRPr="00000000">
        <w:rPr>
          <w:rtl w:val="0"/>
        </w:rPr>
      </w:r>
    </w:p>
    <w:p w:rsidR="00000000" w:rsidDel="00000000" w:rsidP="00000000" w:rsidRDefault="00000000" w:rsidRPr="00000000" w14:paraId="0000012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Transcriptional regulation and repressive condensates modulate a proliferative-invasive cellular switch in vivo - eLife, accessed June 24, 2025, </w:t>
      </w:r>
      <w:hyperlink r:id="rId86">
        <w:r w:rsidDel="00000000" w:rsidR="00000000" w:rsidRPr="00000000">
          <w:rPr>
            <w:rFonts w:ascii="Google Sans" w:cs="Google Sans" w:eastAsia="Google Sans" w:hAnsi="Google Sans"/>
            <w:color w:val="0000ee"/>
            <w:sz w:val="24"/>
            <w:szCs w:val="24"/>
            <w:u w:val="single"/>
            <w:rtl w:val="0"/>
          </w:rPr>
          <w:t xml:space="preserve">https://elifesciences.org/reviewed-preprints/84355v1</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embopress.org/doi/abs/10.15252/msb.202110272" TargetMode="External"/><Relationship Id="rId84" Type="http://schemas.openxmlformats.org/officeDocument/2006/relationships/hyperlink" Target="https://pmc.ncbi.nlm.nih.gov/articles/PMC7371551/" TargetMode="External"/><Relationship Id="rId83" Type="http://schemas.openxmlformats.org/officeDocument/2006/relationships/hyperlink" Target="https://www.janelia.org/you-janelia/conferences/4d-cellular-physiology" TargetMode="External"/><Relationship Id="rId42" Type="http://schemas.openxmlformats.org/officeDocument/2006/relationships/hyperlink" Target="https://pmc.ncbi.nlm.nih.gov/articles/PMC4942130/" TargetMode="External"/><Relationship Id="rId86" Type="http://schemas.openxmlformats.org/officeDocument/2006/relationships/hyperlink" Target="https://elifesciences.org/reviewed-preprints/84355v1" TargetMode="External"/><Relationship Id="rId41" Type="http://schemas.openxmlformats.org/officeDocument/2006/relationships/hyperlink" Target="https://www.biorxiv.org/content/10.1101/2024.04.01.587651v1.full.pdf" TargetMode="External"/><Relationship Id="rId85" Type="http://schemas.openxmlformats.org/officeDocument/2006/relationships/hyperlink" Target="https://www.researchgate.net/publication/385669155_Transcription_regulation_by_biomolecular_condensates" TargetMode="External"/><Relationship Id="rId44" Type="http://schemas.openxmlformats.org/officeDocument/2006/relationships/hyperlink" Target="https://www.pnas.org/cgi/reprint/115/19/E4368" TargetMode="External"/><Relationship Id="rId43" Type="http://schemas.openxmlformats.org/officeDocument/2006/relationships/hyperlink" Target="https://www.pnas.org/doi/10.1073/pnas.1717920115" TargetMode="External"/><Relationship Id="rId46" Type="http://schemas.openxmlformats.org/officeDocument/2006/relationships/hyperlink" Target="https://pmc.ncbi.nlm.nih.gov/articles/PMC9150788/" TargetMode="External"/><Relationship Id="rId45" Type="http://schemas.openxmlformats.org/officeDocument/2006/relationships/hyperlink" Target="https://pmc.ncbi.nlm.nih.gov/articles/PMC8266587/" TargetMode="External"/><Relationship Id="rId80" Type="http://schemas.openxmlformats.org/officeDocument/2006/relationships/hyperlink" Target="https://www.biorxiv.org/content/10.1101/2025.03.26.645448v1.full.pdf" TargetMode="External"/><Relationship Id="rId82" Type="http://schemas.openxmlformats.org/officeDocument/2006/relationships/hyperlink" Target="https://www.molbiolcell.org/doi/10.1091/mbc.E18-06-0375" TargetMode="External"/><Relationship Id="rId81" Type="http://schemas.openxmlformats.org/officeDocument/2006/relationships/hyperlink" Target="https://www.4dcell.com/literature-reviews/microchanne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8794578/" TargetMode="External"/><Relationship Id="rId48" Type="http://schemas.openxmlformats.org/officeDocument/2006/relationships/hyperlink" Target="https://elifesciences.org/articles/13617" TargetMode="External"/><Relationship Id="rId47" Type="http://schemas.openxmlformats.org/officeDocument/2006/relationships/hyperlink" Target="https://pmc.ncbi.nlm.nih.gov/articles/PMC5670121/" TargetMode="External"/><Relationship Id="rId49" Type="http://schemas.openxmlformats.org/officeDocument/2006/relationships/hyperlink" Target="https://www.biorxiv.org/content/10.1101/2020.04.03.024414v2.full-text" TargetMode="External"/><Relationship Id="rId5" Type="http://schemas.openxmlformats.org/officeDocument/2006/relationships/styles" Target="styles.xml"/><Relationship Id="rId6" Type="http://schemas.openxmlformats.org/officeDocument/2006/relationships/hyperlink" Target="https://www.tandfonline.com/doi/full/10.1080/19491034.2023.2213551" TargetMode="External"/><Relationship Id="rId7" Type="http://schemas.openxmlformats.org/officeDocument/2006/relationships/hyperlink" Target="https://pmc.ncbi.nlm.nih.gov/articles/PMC5497218/" TargetMode="External"/><Relationship Id="rId8" Type="http://schemas.openxmlformats.org/officeDocument/2006/relationships/hyperlink" Target="https://www.frontiersin.org/journals/genetics/articles/10.3389/fgene.2012.00221/pdf" TargetMode="External"/><Relationship Id="rId73" Type="http://schemas.openxmlformats.org/officeDocument/2006/relationships/hyperlink" Target="https://www.mdpi.com/1422-0067/21/6/1911" TargetMode="External"/><Relationship Id="rId72" Type="http://schemas.openxmlformats.org/officeDocument/2006/relationships/hyperlink" Target="https://www.pnas.org/doi/10.1073/pnas.1318496111" TargetMode="External"/><Relationship Id="rId31" Type="http://schemas.openxmlformats.org/officeDocument/2006/relationships/hyperlink" Target="https://www.researchgate.net/publication/357225869_Super_resolution_microscopy_reveals_how_elongating_RNA_polymerase_II_and_nascent_RNA_interact_with_nucleosome_clutches" TargetMode="External"/><Relationship Id="rId75" Type="http://schemas.openxmlformats.org/officeDocument/2006/relationships/hyperlink" Target="https://www.pnas.org/doi/10.1073/pnas.2316610121" TargetMode="External"/><Relationship Id="rId30" Type="http://schemas.openxmlformats.org/officeDocument/2006/relationships/hyperlink" Target="https://journals.biologists.com/jcs/article-pdf/134/17/jcs258578/3488639/jcs258578_review_history.pdf" TargetMode="External"/><Relationship Id="rId74" Type="http://schemas.openxmlformats.org/officeDocument/2006/relationships/hyperlink" Target="https://experiments.springernature.com/articles/10.1007/978-1-0716-2663-4_19" TargetMode="External"/><Relationship Id="rId33" Type="http://schemas.openxmlformats.org/officeDocument/2006/relationships/hyperlink" Target="https://dspace.mit.edu/bitstream/handle/1721.1/139662/nihms-1649382.pdf?sequence=2" TargetMode="External"/><Relationship Id="rId77" Type="http://schemas.openxmlformats.org/officeDocument/2006/relationships/hyperlink" Target="https://www.researchgate.net/publication/378821100_Technologies_for_studying_phase-separated_biomolecular_condensates" TargetMode="External"/><Relationship Id="rId32" Type="http://schemas.openxmlformats.org/officeDocument/2006/relationships/hyperlink" Target="https://www.biorxiv.org/content/10.1101/2025.06.06.658161v1.full-text" TargetMode="External"/><Relationship Id="rId76" Type="http://schemas.openxmlformats.org/officeDocument/2006/relationships/hyperlink" Target="https://journal.hep.com.cn/qb/EN/10.15302/J-QB-021-0264" TargetMode="External"/><Relationship Id="rId35" Type="http://schemas.openxmlformats.org/officeDocument/2006/relationships/hyperlink" Target="https://www.researchgate.net/publication/380098561_Emerging_insights_into_transcriptional_condensates" TargetMode="External"/><Relationship Id="rId79" Type="http://schemas.openxmlformats.org/officeDocument/2006/relationships/hyperlink" Target="https://ediss.uni-goettingen.de/handle/11858/15116?locale-attribute=en" TargetMode="External"/><Relationship Id="rId34" Type="http://schemas.openxmlformats.org/officeDocument/2006/relationships/hyperlink" Target="https://pmc.ncbi.nlm.nih.gov/articles/PMC4929003/" TargetMode="External"/><Relationship Id="rId78" Type="http://schemas.openxmlformats.org/officeDocument/2006/relationships/hyperlink" Target="https://pmc.ncbi.nlm.nih.gov/articles/PMC11803855/" TargetMode="External"/><Relationship Id="rId71" Type="http://schemas.openxmlformats.org/officeDocument/2006/relationships/hyperlink" Target="https://warsaw4phd.eu/yleerdad/2025/04/Project-1.4-A.-Klosin.pdf" TargetMode="External"/><Relationship Id="rId70" Type="http://schemas.openxmlformats.org/officeDocument/2006/relationships/hyperlink" Target="https://www.delmic.com/en/techniques/correlative-light-electron-microscopy" TargetMode="External"/><Relationship Id="rId37" Type="http://schemas.openxmlformats.org/officeDocument/2006/relationships/hyperlink" Target="https://www.biorxiv.org/content/10.1101/2021.02.03.429626.full" TargetMode="External"/><Relationship Id="rId36" Type="http://schemas.openxmlformats.org/officeDocument/2006/relationships/hyperlink" Target="https://pmc.ncbi.nlm.nih.gov/articles/PMC8474054/" TargetMode="External"/><Relationship Id="rId39" Type="http://schemas.openxmlformats.org/officeDocument/2006/relationships/hyperlink" Target="https://pubmed.ncbi.nlm.nih.gov/34569155/" TargetMode="External"/><Relationship Id="rId38" Type="http://schemas.openxmlformats.org/officeDocument/2006/relationships/hyperlink" Target="https://pmc.ncbi.nlm.nih.gov/articles/PMC8754629/" TargetMode="External"/><Relationship Id="rId62" Type="http://schemas.openxmlformats.org/officeDocument/2006/relationships/hyperlink" Target="https://henriqueslab.org/publications/2020__tosheva__journal_of_physics_d_applied_physics.pdf" TargetMode="External"/><Relationship Id="rId61" Type="http://schemas.openxmlformats.org/officeDocument/2006/relationships/hyperlink" Target="https://www.researchgate.net/publication/338617404_Between_life_and_death_Strategies_to_reduce_phototoxicity_in_super-resolution_microscopy" TargetMode="External"/><Relationship Id="rId20" Type="http://schemas.openxmlformats.org/officeDocument/2006/relationships/hyperlink" Target="https://pmc.ncbi.nlm.nih.gov/articles/PMC9012237/" TargetMode="External"/><Relationship Id="rId64" Type="http://schemas.openxmlformats.org/officeDocument/2006/relationships/hyperlink" Target="https://www.pnas.org/doi/10.1073/pnas.1201882109" TargetMode="External"/><Relationship Id="rId63" Type="http://schemas.openxmlformats.org/officeDocument/2006/relationships/hyperlink" Target="https://journals.biologists.com/jcs/article/137/3/jcs261545/342983/Harnessing-artificial-intelligence-to-reduce" TargetMode="External"/><Relationship Id="rId22" Type="http://schemas.openxmlformats.org/officeDocument/2006/relationships/hyperlink" Target="https://www.colorado.edu/lab/taatjes/transcription-factors-and-pic-function" TargetMode="External"/><Relationship Id="rId66" Type="http://schemas.openxmlformats.org/officeDocument/2006/relationships/hyperlink" Target="https://www.molbiolcell.org/doi/10.1091/mbc.e17-03-0161" TargetMode="External"/><Relationship Id="rId21" Type="http://schemas.openxmlformats.org/officeDocument/2006/relationships/hyperlink" Target="https://academic.oup.com/nar/article/53/3/gkaf015/7979041" TargetMode="External"/><Relationship Id="rId65" Type="http://schemas.openxmlformats.org/officeDocument/2006/relationships/hyperlink" Target="https://rupress.org/jcb/article/217/4/1537/39206/Imaging-of-native-transcription-factors-and" TargetMode="External"/><Relationship Id="rId24" Type="http://schemas.openxmlformats.org/officeDocument/2006/relationships/hyperlink" Target="https://pubs.acs.org/doi/10.1021/acs.jpcb.4c04457" TargetMode="External"/><Relationship Id="rId68" Type="http://schemas.openxmlformats.org/officeDocument/2006/relationships/hyperlink" Target="https://ri.conicet.gov.ar/bitstream/11336/64420/5/CONICET_Digital_Nro.56a2b6e8-caab-4720-9034-33096e046ca5_X.pdf" TargetMode="External"/><Relationship Id="rId23" Type="http://schemas.openxmlformats.org/officeDocument/2006/relationships/hyperlink" Target="https://dasher.wustl.edu/bio5357/readings/holehouse-kragelund-23.pdf" TargetMode="External"/><Relationship Id="rId67" Type="http://schemas.openxmlformats.org/officeDocument/2006/relationships/hyperlink" Target="https://pmc.ncbi.nlm.nih.gov/articles/PMC5881510/" TargetMode="External"/><Relationship Id="rId60" Type="http://schemas.openxmlformats.org/officeDocument/2006/relationships/hyperlink" Target="https://pmc.ncbi.nlm.nih.gov/articles/PMC8114953/" TargetMode="External"/><Relationship Id="rId26" Type="http://schemas.openxmlformats.org/officeDocument/2006/relationships/hyperlink" Target="https://pubs.acs.org/doi/10.1021/cr400071f" TargetMode="External"/><Relationship Id="rId25" Type="http://schemas.openxmlformats.org/officeDocument/2006/relationships/hyperlink" Target="https://www.researchgate.net/publication/391175805_RNA_polymerase_II_partitioning_is_a_shared_feature_of_diverse_oncofusion_condensates" TargetMode="External"/><Relationship Id="rId69" Type="http://schemas.openxmlformats.org/officeDocument/2006/relationships/hyperlink" Target="https://www.biorxiv.org/content/10.1101/2020.03.09.980334v3.full-text" TargetMode="External"/><Relationship Id="rId28" Type="http://schemas.openxmlformats.org/officeDocument/2006/relationships/hyperlink" Target="https://www.embopress.org/doi/10.15252/msb.202110272" TargetMode="External"/><Relationship Id="rId27" Type="http://schemas.openxmlformats.org/officeDocument/2006/relationships/hyperlink" Target="https://pmc.ncbi.nlm.nih.gov/articles/PMC10886972/" TargetMode="External"/><Relationship Id="rId29" Type="http://schemas.openxmlformats.org/officeDocument/2006/relationships/hyperlink" Target="https://www.mdpi.com/2218-273X/14/2/176" TargetMode="External"/><Relationship Id="rId51" Type="http://schemas.openxmlformats.org/officeDocument/2006/relationships/hyperlink" Target="https://elifesciences.org/articles/96028/peer-reviews" TargetMode="External"/><Relationship Id="rId50" Type="http://schemas.openxmlformats.org/officeDocument/2006/relationships/hyperlink" Target="https://www.researchgate.net/publication/330633342_Considerations_and_Challenges_in_Studying_Liquid-Liquid_Phase_Separation_and_Biomolecular_Condensates" TargetMode="External"/><Relationship Id="rId53" Type="http://schemas.openxmlformats.org/officeDocument/2006/relationships/hyperlink" Target="https://www.biorxiv.org/content/10.1101/2024.02.06.579062v1" TargetMode="External"/><Relationship Id="rId52" Type="http://schemas.openxmlformats.org/officeDocument/2006/relationships/hyperlink" Target="https://www.pnas.org/doi/10.1073/pnas.2005019117" TargetMode="External"/><Relationship Id="rId11" Type="http://schemas.openxmlformats.org/officeDocument/2006/relationships/hyperlink" Target="https://www.biorxiv.org/content/10.1101/2024.06.14.599027v2.full.pdf" TargetMode="External"/><Relationship Id="rId55" Type="http://schemas.openxmlformats.org/officeDocument/2006/relationships/hyperlink" Target="https://pubs.acs.org/doi/10.1021/acs.jpcb.4c04420" TargetMode="External"/><Relationship Id="rId10" Type="http://schemas.openxmlformats.org/officeDocument/2006/relationships/hyperlink" Target="https://pubmed.ncbi.nlm.nih.gov/34303933/" TargetMode="External"/><Relationship Id="rId54" Type="http://schemas.openxmlformats.org/officeDocument/2006/relationships/hyperlink" Target="https://www.biorxiv.org/content/10.1101/2024.11.21.624739v1.full-text" TargetMode="External"/><Relationship Id="rId13" Type="http://schemas.openxmlformats.org/officeDocument/2006/relationships/hyperlink" Target="https://pmc.ncbi.nlm.nih.gov/articles/PMC8748285/" TargetMode="External"/><Relationship Id="rId57" Type="http://schemas.openxmlformats.org/officeDocument/2006/relationships/hyperlink" Target="https://pmc.ncbi.nlm.nih.gov/articles/PMC9029427/" TargetMode="External"/><Relationship Id="rId12" Type="http://schemas.openxmlformats.org/officeDocument/2006/relationships/hyperlink" Target="https://hymanlab.org/uploads/publications/2017-Bananietal-NatureReviews.pdf" TargetMode="External"/><Relationship Id="rId56" Type="http://schemas.openxmlformats.org/officeDocument/2006/relationships/hyperlink" Target="https://www.pnas.org/doi/10.1073/pnas.2218085120" TargetMode="External"/><Relationship Id="rId15" Type="http://schemas.openxmlformats.org/officeDocument/2006/relationships/hyperlink" Target="https://elifesciences.org/articles/96028" TargetMode="External"/><Relationship Id="rId59" Type="http://schemas.openxmlformats.org/officeDocument/2006/relationships/hyperlink" Target="https://www.researchgate.net/publication/379032405_Photobleaching_and_phototoxicity_of_mitochondria_in_live_cell_fluorescent_super-resolution_microscopy" TargetMode="External"/><Relationship Id="rId14" Type="http://schemas.openxmlformats.org/officeDocument/2006/relationships/hyperlink" Target="https://www.biorxiv.org/content/10.1101/2024.03.16.585180v3.full-text" TargetMode="External"/><Relationship Id="rId58" Type="http://schemas.openxmlformats.org/officeDocument/2006/relationships/hyperlink" Target="https://www.biorxiv.org/content/10.1101/2024.01.16.575860v1.full.pdf" TargetMode="External"/><Relationship Id="rId17" Type="http://schemas.openxmlformats.org/officeDocument/2006/relationships/hyperlink" Target="https://pmc.ncbi.nlm.nih.gov/articles/PMC6958436/" TargetMode="External"/><Relationship Id="rId16" Type="http://schemas.openxmlformats.org/officeDocument/2006/relationships/hyperlink" Target="https://pmc.ncbi.nlm.nih.gov/articles/PMC7572565/" TargetMode="External"/><Relationship Id="rId19" Type="http://schemas.openxmlformats.org/officeDocument/2006/relationships/hyperlink" Target="https://pmc.ncbi.nlm.nih.gov/articles/PMC10873363/" TargetMode="External"/><Relationship Id="rId18" Type="http://schemas.openxmlformats.org/officeDocument/2006/relationships/hyperlink" Target="https://pmc.ncbi.nlm.nih.gov/articles/PMC111629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